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517F3" w14:textId="77777777" w:rsidR="009826EC" w:rsidRPr="009826EC" w:rsidRDefault="009826EC" w:rsidP="009826EC">
      <w:pPr>
        <w:spacing w:before="240"/>
        <w:ind w:left="120"/>
        <w:outlineLvl w:val="0"/>
        <w:rPr>
          <w:rFonts w:ascii="Times New Roman" w:eastAsia="Times New Roman" w:hAnsi="Times New Roman" w:cs="Times New Roman"/>
          <w:b/>
          <w:bCs/>
          <w:color w:val="000000"/>
          <w:kern w:val="36"/>
          <w:sz w:val="36"/>
          <w:szCs w:val="36"/>
        </w:rPr>
      </w:pPr>
      <w:r w:rsidRPr="009826EC">
        <w:rPr>
          <w:rFonts w:ascii="Times New Roman" w:eastAsia="Times New Roman" w:hAnsi="Times New Roman" w:cs="Times New Roman"/>
          <w:b/>
          <w:bCs/>
          <w:color w:val="000000"/>
          <w:kern w:val="36"/>
          <w:sz w:val="36"/>
          <w:szCs w:val="36"/>
        </w:rPr>
        <w:t>CHAPTER 7</w:t>
      </w:r>
    </w:p>
    <w:p w14:paraId="0F246C78" w14:textId="77777777" w:rsidR="009826EC" w:rsidRPr="009826EC" w:rsidRDefault="00872E7F" w:rsidP="009826EC">
      <w:pPr>
        <w:shd w:val="clear" w:color="auto" w:fill="58585A"/>
        <w:spacing w:before="24" w:after="240"/>
        <w:outlineLvl w:val="0"/>
        <w:rPr>
          <w:rFonts w:ascii="Times New Roman" w:eastAsia="Times New Roman" w:hAnsi="Times New Roman" w:cs="Times New Roman"/>
          <w:b/>
          <w:bCs/>
          <w:color w:val="000000"/>
          <w:kern w:val="36"/>
          <w:sz w:val="62"/>
          <w:szCs w:val="62"/>
        </w:rPr>
      </w:pPr>
      <w:hyperlink r:id="rId6" w:anchor="toc-ch7" w:history="1">
        <w:r w:rsidR="009826EC" w:rsidRPr="009826EC">
          <w:rPr>
            <w:rFonts w:ascii="Times New Roman" w:eastAsia="Times New Roman" w:hAnsi="Times New Roman" w:cs="Times New Roman"/>
            <w:b/>
            <w:bCs/>
            <w:color w:val="FFFFFF"/>
            <w:kern w:val="36"/>
            <w:sz w:val="62"/>
            <w:szCs w:val="62"/>
          </w:rPr>
          <w:t>Searches and Seizures of Things</w:t>
        </w:r>
      </w:hyperlink>
    </w:p>
    <w:p w14:paraId="0361EB00" w14:textId="77777777" w:rsidR="009826EC" w:rsidRPr="009826EC" w:rsidRDefault="009826EC" w:rsidP="009826EC">
      <w:pPr>
        <w:shd w:val="clear" w:color="auto" w:fill="6D6E71"/>
        <w:rPr>
          <w:rFonts w:ascii="Times New Roman" w:eastAsia="Times New Roman" w:hAnsi="Times New Roman" w:cs="Times New Roman"/>
          <w:b/>
          <w:bCs/>
          <w:color w:val="FFFFFF"/>
          <w:sz w:val="36"/>
          <w:szCs w:val="36"/>
        </w:rPr>
      </w:pPr>
      <w:r w:rsidRPr="009826EC">
        <w:rPr>
          <w:rFonts w:ascii="Times New Roman" w:eastAsia="Times New Roman" w:hAnsi="Times New Roman" w:cs="Times New Roman"/>
          <w:b/>
          <w:bCs/>
          <w:color w:val="FFFFFF"/>
          <w:sz w:val="36"/>
          <w:szCs w:val="36"/>
        </w:rPr>
        <w:t>LEARNING OBJECTIVES</w:t>
      </w:r>
    </w:p>
    <w:p w14:paraId="5E810357"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1.Define search and seizure.</w:t>
      </w:r>
    </w:p>
    <w:p w14:paraId="1669FE1E"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2.Describe the development of the legal concept of reasonable expectation of privacy to include the landmark case of </w:t>
      </w:r>
      <w:r w:rsidRPr="009826EC">
        <w:rPr>
          <w:rFonts w:ascii="Times New Roman" w:eastAsia="Times New Roman" w:hAnsi="Times New Roman" w:cs="Times New Roman"/>
          <w:i/>
          <w:iCs/>
          <w:color w:val="000000"/>
        </w:rPr>
        <w:t>Katz v. United States.</w:t>
      </w:r>
    </w:p>
    <w:p w14:paraId="7B4692BF"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3.Explain the four requirements for a search warrant.</w:t>
      </w:r>
    </w:p>
    <w:p w14:paraId="5D789F06"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4.Illustrate with examples the types of items that can be searched for and seized by law enforcement.</w:t>
      </w:r>
    </w:p>
    <w:p w14:paraId="777989E9"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5.Compare and contrast between an arrest warrant and a search warrant.</w:t>
      </w:r>
    </w:p>
    <w:p w14:paraId="0CAC9C98"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6.Explain and provide examples of exceptions to a search with a warrant.</w:t>
      </w:r>
    </w:p>
    <w:p w14:paraId="55002AE4"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7.Describe the elements of consent to search as well as who has authority to give consent.</w:t>
      </w:r>
    </w:p>
    <w:p w14:paraId="027A4519"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8.Compare and contrast the requirements for the search and seizure of a computer with that of a cell phone.</w:t>
      </w:r>
    </w:p>
    <w:p w14:paraId="27B98283"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 xml:space="preserve">9.Compare the legal requirements between the following: searches by a private person, searches by an </w:t>
      </w:r>
      <w:proofErr w:type="gramStart"/>
      <w:r w:rsidRPr="009826EC">
        <w:rPr>
          <w:rFonts w:ascii="Times New Roman" w:eastAsia="Times New Roman" w:hAnsi="Times New Roman" w:cs="Times New Roman"/>
          <w:color w:val="000000"/>
        </w:rPr>
        <w:t>off duty</w:t>
      </w:r>
      <w:proofErr w:type="gramEnd"/>
      <w:r w:rsidRPr="009826EC">
        <w:rPr>
          <w:rFonts w:ascii="Times New Roman" w:eastAsia="Times New Roman" w:hAnsi="Times New Roman" w:cs="Times New Roman"/>
          <w:color w:val="000000"/>
        </w:rPr>
        <w:t xml:space="preserve"> officer, and surgery to retrieve evidence.</w:t>
      </w:r>
    </w:p>
    <w:p w14:paraId="12D09870" w14:textId="77777777" w:rsidR="009826EC" w:rsidRPr="009826EC" w:rsidRDefault="009826EC" w:rsidP="009826EC">
      <w:pPr>
        <w:shd w:val="clear" w:color="auto" w:fill="F3F3F4"/>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10.Compare and contrast administrative searches and searches by law enforcement.</w:t>
      </w:r>
    </w:p>
    <w:p w14:paraId="6774B7AF" w14:textId="77777777" w:rsidR="009826EC" w:rsidRPr="009826EC" w:rsidRDefault="009826EC" w:rsidP="009826EC">
      <w:pPr>
        <w:spacing w:before="360" w:after="240"/>
        <w:jc w:val="both"/>
        <w:rPr>
          <w:rFonts w:ascii="Times New Roman" w:eastAsia="Times New Roman" w:hAnsi="Times New Roman" w:cs="Times New Roman"/>
          <w:color w:val="000000"/>
        </w:rPr>
      </w:pPr>
      <w:r w:rsidRPr="009826EC">
        <w:rPr>
          <w:rFonts w:ascii="Times New Roman" w:eastAsia="Times New Roman" w:hAnsi="Times New Roman" w:cs="Times New Roman"/>
          <w:b/>
          <w:bCs/>
          <w:color w:val="000000"/>
          <w:sz w:val="26"/>
          <w:szCs w:val="26"/>
          <w:shd w:val="clear" w:color="auto" w:fill="DCDDDE"/>
        </w:rPr>
        <w:t>KEY TERMS</w:t>
      </w:r>
    </w:p>
    <w:p w14:paraId="03B79ADB" w14:textId="77777777" w:rsidR="009826EC" w:rsidRPr="009826EC" w:rsidRDefault="00872E7F" w:rsidP="009826EC">
      <w:pPr>
        <w:jc w:val="both"/>
        <w:rPr>
          <w:rFonts w:ascii="Times New Roman" w:eastAsia="Times New Roman" w:hAnsi="Times New Roman" w:cs="Times New Roman"/>
          <w:color w:val="000000"/>
        </w:rPr>
      </w:pPr>
      <w:hyperlink r:id="rId7" w:anchor="administrativesearches" w:history="1">
        <w:r w:rsidR="009826EC" w:rsidRPr="009826EC">
          <w:rPr>
            <w:rFonts w:ascii="Times New Roman" w:eastAsia="Times New Roman" w:hAnsi="Times New Roman" w:cs="Times New Roman"/>
            <w:color w:val="0000FF"/>
          </w:rPr>
          <w:t>administrative searches</w:t>
        </w:r>
      </w:hyperlink>
    </w:p>
    <w:p w14:paraId="35BC74B6" w14:textId="77777777" w:rsidR="009826EC" w:rsidRPr="009826EC" w:rsidRDefault="00872E7F" w:rsidP="009826EC">
      <w:pPr>
        <w:jc w:val="both"/>
        <w:rPr>
          <w:rFonts w:ascii="Times New Roman" w:eastAsia="Times New Roman" w:hAnsi="Times New Roman" w:cs="Times New Roman"/>
          <w:color w:val="000000"/>
        </w:rPr>
      </w:pPr>
      <w:hyperlink r:id="rId8" w:anchor="anticipatorysearchwarrant" w:history="1">
        <w:r w:rsidR="009826EC" w:rsidRPr="009826EC">
          <w:rPr>
            <w:rFonts w:ascii="Times New Roman" w:eastAsia="Times New Roman" w:hAnsi="Times New Roman" w:cs="Times New Roman"/>
            <w:color w:val="0000FF"/>
          </w:rPr>
          <w:t>anticipatory search warrant</w:t>
        </w:r>
      </w:hyperlink>
    </w:p>
    <w:p w14:paraId="19D649F4" w14:textId="77777777" w:rsidR="009826EC" w:rsidRPr="009826EC" w:rsidRDefault="00872E7F" w:rsidP="009826EC">
      <w:pPr>
        <w:jc w:val="both"/>
        <w:rPr>
          <w:rFonts w:ascii="Times New Roman" w:eastAsia="Times New Roman" w:hAnsi="Times New Roman" w:cs="Times New Roman"/>
          <w:color w:val="000000"/>
        </w:rPr>
      </w:pPr>
      <w:hyperlink r:id="rId9" w:anchor="apparentauthorityprinciple" w:history="1">
        <w:r w:rsidR="009826EC" w:rsidRPr="009826EC">
          <w:rPr>
            <w:rFonts w:ascii="Times New Roman" w:eastAsia="Times New Roman" w:hAnsi="Times New Roman" w:cs="Times New Roman"/>
            <w:color w:val="0000FF"/>
          </w:rPr>
          <w:t>apparent authority principle</w:t>
        </w:r>
      </w:hyperlink>
    </w:p>
    <w:p w14:paraId="4CDFD554" w14:textId="77777777" w:rsidR="009826EC" w:rsidRPr="009826EC" w:rsidRDefault="00872E7F" w:rsidP="009826EC">
      <w:pPr>
        <w:jc w:val="both"/>
        <w:rPr>
          <w:rFonts w:ascii="Times New Roman" w:eastAsia="Times New Roman" w:hAnsi="Times New Roman" w:cs="Times New Roman"/>
          <w:color w:val="000000"/>
        </w:rPr>
      </w:pPr>
      <w:hyperlink r:id="rId10" w:anchor="chimelrule" w:history="1">
        <w:r w:rsidR="009826EC" w:rsidRPr="009826EC">
          <w:rPr>
            <w:rFonts w:ascii="Times New Roman" w:eastAsia="Times New Roman" w:hAnsi="Times New Roman" w:cs="Times New Roman"/>
            <w:i/>
            <w:iCs/>
            <w:color w:val="0000FF"/>
          </w:rPr>
          <w:t>Chimel</w:t>
        </w:r>
        <w:r w:rsidR="009826EC" w:rsidRPr="009826EC">
          <w:rPr>
            <w:rFonts w:ascii="Times New Roman" w:eastAsia="Times New Roman" w:hAnsi="Times New Roman" w:cs="Times New Roman"/>
            <w:color w:val="0000FF"/>
          </w:rPr>
          <w:t> rule</w:t>
        </w:r>
      </w:hyperlink>
    </w:p>
    <w:p w14:paraId="4207E07E" w14:textId="77777777" w:rsidR="009826EC" w:rsidRPr="009826EC" w:rsidRDefault="00872E7F" w:rsidP="009826EC">
      <w:pPr>
        <w:jc w:val="both"/>
        <w:rPr>
          <w:rFonts w:ascii="Times New Roman" w:eastAsia="Times New Roman" w:hAnsi="Times New Roman" w:cs="Times New Roman"/>
          <w:color w:val="000000"/>
        </w:rPr>
      </w:pPr>
      <w:hyperlink r:id="rId11" w:anchor="contemporaneoussearch" w:history="1">
        <w:r w:rsidR="009826EC" w:rsidRPr="009826EC">
          <w:rPr>
            <w:rFonts w:ascii="Times New Roman" w:eastAsia="Times New Roman" w:hAnsi="Times New Roman" w:cs="Times New Roman"/>
            <w:color w:val="0000FF"/>
          </w:rPr>
          <w:t>contemporaneous search</w:t>
        </w:r>
      </w:hyperlink>
    </w:p>
    <w:p w14:paraId="433C079B" w14:textId="77777777" w:rsidR="009826EC" w:rsidRPr="009826EC" w:rsidRDefault="00872E7F" w:rsidP="009826EC">
      <w:pPr>
        <w:jc w:val="both"/>
        <w:rPr>
          <w:rFonts w:ascii="Times New Roman" w:eastAsia="Times New Roman" w:hAnsi="Times New Roman" w:cs="Times New Roman"/>
          <w:color w:val="000000"/>
        </w:rPr>
      </w:pPr>
      <w:hyperlink r:id="rId12" w:anchor="exigentcircumstances" w:history="1">
        <w:r w:rsidR="009826EC" w:rsidRPr="009826EC">
          <w:rPr>
            <w:rFonts w:ascii="Times New Roman" w:eastAsia="Times New Roman" w:hAnsi="Times New Roman" w:cs="Times New Roman"/>
            <w:color w:val="0000FF"/>
          </w:rPr>
          <w:t>exigent circumstances</w:t>
        </w:r>
      </w:hyperlink>
    </w:p>
    <w:p w14:paraId="70FCAA3C" w14:textId="77777777" w:rsidR="009826EC" w:rsidRPr="009826EC" w:rsidRDefault="00872E7F" w:rsidP="009826EC">
      <w:pPr>
        <w:jc w:val="both"/>
        <w:rPr>
          <w:rFonts w:ascii="Times New Roman" w:eastAsia="Times New Roman" w:hAnsi="Times New Roman" w:cs="Times New Roman"/>
          <w:color w:val="000000"/>
        </w:rPr>
      </w:pPr>
      <w:hyperlink r:id="rId13" w:anchor="fishingexpedition" w:history="1">
        <w:r w:rsidR="009826EC" w:rsidRPr="009826EC">
          <w:rPr>
            <w:rFonts w:ascii="Times New Roman" w:eastAsia="Times New Roman" w:hAnsi="Times New Roman" w:cs="Times New Roman"/>
            <w:color w:val="0000FF"/>
          </w:rPr>
          <w:t>fishing expedition</w:t>
        </w:r>
      </w:hyperlink>
    </w:p>
    <w:p w14:paraId="281BB357" w14:textId="77777777" w:rsidR="009826EC" w:rsidRPr="009826EC" w:rsidRDefault="00872E7F" w:rsidP="009826EC">
      <w:pPr>
        <w:jc w:val="both"/>
        <w:rPr>
          <w:rFonts w:ascii="Times New Roman" w:eastAsia="Times New Roman" w:hAnsi="Times New Roman" w:cs="Times New Roman"/>
          <w:color w:val="000000"/>
        </w:rPr>
      </w:pPr>
      <w:hyperlink r:id="rId14" w:anchor="neutralanddetachedmagistrate" w:history="1">
        <w:r w:rsidR="009826EC" w:rsidRPr="009826EC">
          <w:rPr>
            <w:rFonts w:ascii="Times New Roman" w:eastAsia="Times New Roman" w:hAnsi="Times New Roman" w:cs="Times New Roman"/>
            <w:color w:val="0000FF"/>
          </w:rPr>
          <w:t>neutral and detached magistrate</w:t>
        </w:r>
      </w:hyperlink>
    </w:p>
    <w:p w14:paraId="49BBC7AD" w14:textId="77777777" w:rsidR="009826EC" w:rsidRPr="009826EC" w:rsidRDefault="00872E7F" w:rsidP="009826EC">
      <w:pPr>
        <w:jc w:val="both"/>
        <w:rPr>
          <w:rFonts w:ascii="Times New Roman" w:eastAsia="Times New Roman" w:hAnsi="Times New Roman" w:cs="Times New Roman"/>
          <w:color w:val="000000"/>
        </w:rPr>
      </w:pPr>
      <w:hyperlink r:id="rId15" w:anchor="reasonableexpectationofprivacy" w:history="1">
        <w:r w:rsidR="009826EC" w:rsidRPr="009826EC">
          <w:rPr>
            <w:rFonts w:ascii="Times New Roman" w:eastAsia="Times New Roman" w:hAnsi="Times New Roman" w:cs="Times New Roman"/>
            <w:color w:val="0000FF"/>
          </w:rPr>
          <w:t>reasonable expectation of privacy</w:t>
        </w:r>
      </w:hyperlink>
    </w:p>
    <w:p w14:paraId="43E82518" w14:textId="77777777" w:rsidR="009826EC" w:rsidRPr="009826EC" w:rsidRDefault="00872E7F" w:rsidP="009826EC">
      <w:pPr>
        <w:jc w:val="both"/>
        <w:rPr>
          <w:rFonts w:ascii="Times New Roman" w:eastAsia="Times New Roman" w:hAnsi="Times New Roman" w:cs="Times New Roman"/>
          <w:color w:val="000000"/>
        </w:rPr>
      </w:pPr>
      <w:hyperlink r:id="rId16" w:anchor="righttoprivacy" w:history="1">
        <w:r w:rsidR="009826EC" w:rsidRPr="009826EC">
          <w:rPr>
            <w:rFonts w:ascii="Times New Roman" w:eastAsia="Times New Roman" w:hAnsi="Times New Roman" w:cs="Times New Roman"/>
            <w:color w:val="0000FF"/>
          </w:rPr>
          <w:t>right to privacy</w:t>
        </w:r>
      </w:hyperlink>
    </w:p>
    <w:p w14:paraId="3BE3DD1D" w14:textId="77777777" w:rsidR="009826EC" w:rsidRPr="009826EC" w:rsidRDefault="00872E7F" w:rsidP="009826EC">
      <w:pPr>
        <w:jc w:val="both"/>
        <w:rPr>
          <w:rFonts w:ascii="Times New Roman" w:eastAsia="Times New Roman" w:hAnsi="Times New Roman" w:cs="Times New Roman"/>
          <w:color w:val="000000"/>
        </w:rPr>
      </w:pPr>
      <w:hyperlink r:id="rId17" w:anchor="search" w:history="1">
        <w:r w:rsidR="009826EC" w:rsidRPr="009826EC">
          <w:rPr>
            <w:rFonts w:ascii="Times New Roman" w:eastAsia="Times New Roman" w:hAnsi="Times New Roman" w:cs="Times New Roman"/>
            <w:color w:val="0000FF"/>
          </w:rPr>
          <w:t>search</w:t>
        </w:r>
      </w:hyperlink>
    </w:p>
    <w:p w14:paraId="2FA681BF" w14:textId="77777777" w:rsidR="009826EC" w:rsidRPr="009826EC" w:rsidRDefault="00872E7F" w:rsidP="009826EC">
      <w:pPr>
        <w:jc w:val="both"/>
        <w:rPr>
          <w:rFonts w:ascii="Times New Roman" w:eastAsia="Times New Roman" w:hAnsi="Times New Roman" w:cs="Times New Roman"/>
          <w:color w:val="000000"/>
        </w:rPr>
      </w:pPr>
      <w:hyperlink r:id="rId18" w:anchor="searchwarrant" w:history="1">
        <w:r w:rsidR="009826EC" w:rsidRPr="009826EC">
          <w:rPr>
            <w:rFonts w:ascii="Times New Roman" w:eastAsia="Times New Roman" w:hAnsi="Times New Roman" w:cs="Times New Roman"/>
            <w:color w:val="0000FF"/>
          </w:rPr>
          <w:t>search warrant</w:t>
        </w:r>
      </w:hyperlink>
    </w:p>
    <w:p w14:paraId="21CC388E" w14:textId="77777777" w:rsidR="009826EC" w:rsidRPr="009826EC" w:rsidRDefault="00872E7F" w:rsidP="009826EC">
      <w:pPr>
        <w:jc w:val="both"/>
        <w:rPr>
          <w:rFonts w:ascii="Times New Roman" w:eastAsia="Times New Roman" w:hAnsi="Times New Roman" w:cs="Times New Roman"/>
          <w:color w:val="000000"/>
        </w:rPr>
      </w:pPr>
      <w:hyperlink r:id="rId19" w:anchor="seizure" w:history="1">
        <w:r w:rsidR="009826EC" w:rsidRPr="009826EC">
          <w:rPr>
            <w:rFonts w:ascii="Times New Roman" w:eastAsia="Times New Roman" w:hAnsi="Times New Roman" w:cs="Times New Roman"/>
            <w:color w:val="0000FF"/>
          </w:rPr>
          <w:t>seizure</w:t>
        </w:r>
      </w:hyperlink>
    </w:p>
    <w:p w14:paraId="32A273F5" w14:textId="77777777" w:rsidR="009826EC" w:rsidRPr="009826EC" w:rsidRDefault="00872E7F" w:rsidP="009826EC">
      <w:pPr>
        <w:jc w:val="both"/>
        <w:rPr>
          <w:rFonts w:ascii="Times New Roman" w:eastAsia="Times New Roman" w:hAnsi="Times New Roman" w:cs="Times New Roman"/>
          <w:color w:val="000000"/>
        </w:rPr>
      </w:pPr>
      <w:hyperlink r:id="rId20" w:anchor="specialneedsexception" w:history="1">
        <w:r w:rsidR="009826EC" w:rsidRPr="009826EC">
          <w:rPr>
            <w:rFonts w:ascii="Times New Roman" w:eastAsia="Times New Roman" w:hAnsi="Times New Roman" w:cs="Times New Roman"/>
            <w:color w:val="0000FF"/>
          </w:rPr>
          <w:t>special needs exceptions</w:t>
        </w:r>
      </w:hyperlink>
    </w:p>
    <w:p w14:paraId="1D4745B6" w14:textId="6E48B9DB" w:rsidR="009826EC" w:rsidRPr="009826EC" w:rsidRDefault="009826EC" w:rsidP="009826EC">
      <w:pPr>
        <w:rPr>
          <w:rFonts w:ascii="Times New Roman" w:eastAsia="Times New Roman" w:hAnsi="Times New Roman" w:cs="Times New Roman"/>
        </w:rPr>
      </w:pPr>
      <w:r w:rsidRPr="009826EC">
        <w:rPr>
          <w:rFonts w:ascii="Times New Roman" w:eastAsia="Times New Roman" w:hAnsi="Times New Roman" w:cs="Times New Roman"/>
        </w:rPr>
        <w:lastRenderedPageBreak/>
        <w:fldChar w:fldCharType="begin"/>
      </w:r>
      <w:r w:rsidRPr="009826EC">
        <w:rPr>
          <w:rFonts w:ascii="Times New Roman" w:eastAsia="Times New Roman" w:hAnsi="Times New Roman" w:cs="Times New Roman"/>
        </w:rPr>
        <w:instrText xml:space="preserve"> INCLUDEPICTURE "/var/folders/56/wnp8pdsd019fkrmvxtft5_b00000gn/T/com.microsoft.Word/WebArchiveCopyPasteTempFiles/ch7-page186-1.jpg" \* MERGEFORMATINET </w:instrText>
      </w:r>
      <w:r w:rsidRPr="009826EC">
        <w:rPr>
          <w:rFonts w:ascii="Times New Roman" w:eastAsia="Times New Roman" w:hAnsi="Times New Roman" w:cs="Times New Roman"/>
        </w:rPr>
        <w:fldChar w:fldCharType="separate"/>
      </w:r>
      <w:r w:rsidRPr="009826EC">
        <w:rPr>
          <w:rFonts w:ascii="Times New Roman" w:eastAsia="Times New Roman" w:hAnsi="Times New Roman" w:cs="Times New Roman"/>
          <w:noProof/>
        </w:rPr>
        <w:drawing>
          <wp:inline distT="0" distB="0" distL="0" distR="0" wp14:anchorId="73990681" wp14:editId="770F0496">
            <wp:extent cx="5943600" cy="2407285"/>
            <wp:effectExtent l="0" t="0" r="0" b="5715"/>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407285"/>
                    </a:xfrm>
                    <a:prstGeom prst="rect">
                      <a:avLst/>
                    </a:prstGeom>
                    <a:noFill/>
                    <a:ln>
                      <a:noFill/>
                    </a:ln>
                  </pic:spPr>
                </pic:pic>
              </a:graphicData>
            </a:graphic>
          </wp:inline>
        </w:drawing>
      </w:r>
      <w:r w:rsidRPr="009826EC">
        <w:rPr>
          <w:rFonts w:ascii="Times New Roman" w:eastAsia="Times New Roman" w:hAnsi="Times New Roman" w:cs="Times New Roman"/>
        </w:rPr>
        <w:fldChar w:fldCharType="end"/>
      </w:r>
    </w:p>
    <w:p w14:paraId="524A2A70" w14:textId="5220AC30" w:rsidR="009826EC" w:rsidRPr="009826EC" w:rsidRDefault="009826EC" w:rsidP="009826EC">
      <w:pPr>
        <w:shd w:val="clear" w:color="auto" w:fill="000000"/>
        <w:rPr>
          <w:rFonts w:ascii="Times New Roman" w:eastAsia="Times New Roman" w:hAnsi="Times New Roman" w:cs="Times New Roman"/>
          <w:b/>
          <w:bCs/>
          <w:color w:val="FFFFFF"/>
          <w:sz w:val="36"/>
          <w:szCs w:val="36"/>
        </w:rPr>
      </w:pPr>
      <w:r w:rsidRPr="009826EC">
        <w:rPr>
          <w:rFonts w:ascii="Times New Roman" w:eastAsia="Times New Roman" w:hAnsi="Times New Roman" w:cs="Times New Roman"/>
          <w:b/>
          <w:bCs/>
          <w:color w:val="FFFFFF"/>
          <w:sz w:val="36"/>
          <w:szCs w:val="36"/>
        </w:rPr>
        <w:t> THE </w:t>
      </w:r>
      <w:r w:rsidRPr="009826EC">
        <w:rPr>
          <w:rFonts w:ascii="Times New Roman" w:eastAsia="Times New Roman" w:hAnsi="Times New Roman" w:cs="Times New Roman"/>
          <w:b/>
          <w:bCs/>
          <w:color w:val="FFFFFF"/>
          <w:sz w:val="36"/>
          <w:szCs w:val="36"/>
        </w:rPr>
        <w:fldChar w:fldCharType="begin"/>
      </w:r>
      <w:r w:rsidRPr="009826EC">
        <w:rPr>
          <w:rFonts w:ascii="Times New Roman" w:eastAsia="Times New Roman" w:hAnsi="Times New Roman" w:cs="Times New Roman"/>
          <w:b/>
          <w:bCs/>
          <w:color w:val="FFFFFF"/>
          <w:sz w:val="36"/>
          <w:szCs w:val="36"/>
        </w:rPr>
        <w:instrText xml:space="preserve"> INCLUDEPICTURE "/var/folders/56/wnp8pdsd019fkrmvxtft5_b00000gn/T/com.microsoft.Word/WebArchiveCopyPasteTempFiles/bk.jpg" \* MERGEFORMATINET </w:instrText>
      </w:r>
      <w:r w:rsidRPr="009826EC">
        <w:rPr>
          <w:rFonts w:ascii="Times New Roman" w:eastAsia="Times New Roman" w:hAnsi="Times New Roman" w:cs="Times New Roman"/>
          <w:b/>
          <w:bCs/>
          <w:color w:val="FFFFFF"/>
          <w:sz w:val="36"/>
          <w:szCs w:val="36"/>
        </w:rPr>
        <w:fldChar w:fldCharType="separate"/>
      </w:r>
      <w:r w:rsidRPr="009826EC">
        <w:rPr>
          <w:rFonts w:ascii="Times New Roman" w:eastAsia="Times New Roman" w:hAnsi="Times New Roman" w:cs="Times New Roman"/>
          <w:b/>
          <w:bCs/>
          <w:noProof/>
          <w:color w:val="FFFFFF"/>
          <w:sz w:val="36"/>
          <w:szCs w:val="36"/>
        </w:rPr>
        <w:drawing>
          <wp:inline distT="0" distB="0" distL="0" distR="0" wp14:anchorId="509B8949" wp14:editId="162FDC6A">
            <wp:extent cx="1014095" cy="63627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4095" cy="636270"/>
                    </a:xfrm>
                    <a:prstGeom prst="rect">
                      <a:avLst/>
                    </a:prstGeom>
                    <a:noFill/>
                    <a:ln>
                      <a:noFill/>
                    </a:ln>
                  </pic:spPr>
                </pic:pic>
              </a:graphicData>
            </a:graphic>
          </wp:inline>
        </w:drawing>
      </w:r>
      <w:r w:rsidRPr="009826EC">
        <w:rPr>
          <w:rFonts w:ascii="Times New Roman" w:eastAsia="Times New Roman" w:hAnsi="Times New Roman" w:cs="Times New Roman"/>
          <w:b/>
          <w:bCs/>
          <w:color w:val="FFFFFF"/>
          <w:sz w:val="36"/>
          <w:szCs w:val="36"/>
        </w:rPr>
        <w:fldChar w:fldCharType="end"/>
      </w:r>
      <w:r w:rsidRPr="009826EC">
        <w:rPr>
          <w:rFonts w:ascii="Times New Roman" w:eastAsia="Times New Roman" w:hAnsi="Times New Roman" w:cs="Times New Roman"/>
          <w:b/>
          <w:bCs/>
          <w:color w:val="FFFFFF"/>
          <w:sz w:val="36"/>
          <w:szCs w:val="36"/>
        </w:rPr>
        <w:t> IMPORTANT CASES</w:t>
      </w:r>
    </w:p>
    <w:p w14:paraId="024AE3EE" w14:textId="77777777" w:rsidR="009826EC" w:rsidRPr="009826EC" w:rsidRDefault="009826EC" w:rsidP="009826EC">
      <w:pPr>
        <w:shd w:val="clear" w:color="auto" w:fill="C7C8CA"/>
        <w:spacing w:before="192" w:after="72"/>
        <w:jc w:val="both"/>
        <w:rPr>
          <w:rFonts w:ascii="Times New Roman" w:eastAsia="Times New Roman" w:hAnsi="Times New Roman" w:cs="Times New Roman"/>
          <w:color w:val="000000"/>
          <w:sz w:val="36"/>
          <w:szCs w:val="36"/>
        </w:rPr>
      </w:pPr>
      <w:r w:rsidRPr="009826EC">
        <w:rPr>
          <w:rFonts w:ascii="Times New Roman" w:eastAsia="Times New Roman" w:hAnsi="Times New Roman" w:cs="Times New Roman"/>
          <w:b/>
          <w:bCs/>
          <w:color w:val="000000"/>
          <w:sz w:val="36"/>
          <w:szCs w:val="36"/>
        </w:rPr>
        <w:t>in Searches and Seizures of Things</w:t>
      </w:r>
    </w:p>
    <w:p w14:paraId="0E16E1C1" w14:textId="7D2456C6" w:rsidR="009826EC" w:rsidRPr="009826EC" w:rsidRDefault="009826EC" w:rsidP="009826EC">
      <w:pPr>
        <w:shd w:val="clear" w:color="auto" w:fill="C7C8CA"/>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fldChar w:fldCharType="begin"/>
      </w:r>
      <w:r w:rsidRPr="009826EC">
        <w:rPr>
          <w:rFonts w:ascii="Times New Roman" w:eastAsia="Times New Roman" w:hAnsi="Times New Roman" w:cs="Times New Roman"/>
          <w:color w:val="000000"/>
        </w:rPr>
        <w:instrText xml:space="preserve"> INCLUDEPICTURE "/var/folders/56/wnp8pdsd019fkrmvxtft5_b00000gn/T/com.microsoft.Word/WebArchiveCopyPasteTempFiles/sq.jpg" \* MERGEFORMATINET </w:instrText>
      </w:r>
      <w:r w:rsidRPr="009826EC">
        <w:rPr>
          <w:rFonts w:ascii="Times New Roman" w:eastAsia="Times New Roman" w:hAnsi="Times New Roman" w:cs="Times New Roman"/>
          <w:color w:val="000000"/>
        </w:rPr>
        <w:fldChar w:fldCharType="separate"/>
      </w:r>
      <w:r w:rsidRPr="009826EC">
        <w:rPr>
          <w:rFonts w:ascii="Times New Roman" w:eastAsia="Times New Roman" w:hAnsi="Times New Roman" w:cs="Times New Roman"/>
          <w:noProof/>
          <w:color w:val="000000"/>
        </w:rPr>
        <w:drawing>
          <wp:inline distT="0" distB="0" distL="0" distR="0" wp14:anchorId="79EE8A43" wp14:editId="452793F7">
            <wp:extent cx="258445" cy="2387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445" cy="238760"/>
                    </a:xfrm>
                    <a:prstGeom prst="rect">
                      <a:avLst/>
                    </a:prstGeom>
                    <a:noFill/>
                    <a:ln>
                      <a:noFill/>
                    </a:ln>
                  </pic:spPr>
                </pic:pic>
              </a:graphicData>
            </a:graphic>
          </wp:inline>
        </w:drawing>
      </w:r>
      <w:r w:rsidRPr="009826EC">
        <w:rPr>
          <w:rFonts w:ascii="Times New Roman" w:eastAsia="Times New Roman" w:hAnsi="Times New Roman" w:cs="Times New Roman"/>
          <w:color w:val="000000"/>
        </w:rPr>
        <w:fldChar w:fldCharType="end"/>
      </w:r>
      <w:r w:rsidRPr="009826EC">
        <w:rPr>
          <w:rFonts w:ascii="Times New Roman" w:eastAsia="Times New Roman" w:hAnsi="Times New Roman" w:cs="Times New Roman"/>
          <w:color w:val="000000"/>
        </w:rPr>
        <w:t> </w:t>
      </w:r>
      <w:r w:rsidRPr="009826EC">
        <w:rPr>
          <w:rFonts w:ascii="Times New Roman" w:eastAsia="Times New Roman" w:hAnsi="Times New Roman" w:cs="Times New Roman"/>
          <w:i/>
          <w:iCs/>
          <w:color w:val="FFFFFF"/>
          <w:sz w:val="29"/>
          <w:szCs w:val="29"/>
        </w:rPr>
        <w:t>KATZ V. UNITED STATES</w:t>
      </w:r>
      <w:r w:rsidRPr="009826EC">
        <w:rPr>
          <w:rFonts w:ascii="Times New Roman" w:eastAsia="Times New Roman" w:hAnsi="Times New Roman" w:cs="Times New Roman"/>
          <w:color w:val="FFFFFF"/>
          <w:sz w:val="29"/>
          <w:szCs w:val="29"/>
        </w:rPr>
        <w:t> (1967)</w:t>
      </w:r>
      <w:r w:rsidRPr="009826EC">
        <w:rPr>
          <w:rFonts w:ascii="Times New Roman" w:eastAsia="Times New Roman" w:hAnsi="Times New Roman" w:cs="Times New Roman"/>
          <w:color w:val="000000"/>
        </w:rPr>
        <w:t> </w:t>
      </w:r>
      <w:r w:rsidRPr="009826EC">
        <w:rPr>
          <w:rFonts w:ascii="Times New Roman" w:eastAsia="Times New Roman" w:hAnsi="Times New Roman" w:cs="Times New Roman"/>
          <w:color w:val="000000"/>
        </w:rPr>
        <w:t>A search is not limited to homes, offices, buildings, or other enclosed places; rather, it can occur in any place where a person has a reasonable expectation of privacy, even if the place is in a public area.</w:t>
      </w:r>
    </w:p>
    <w:p w14:paraId="1EDF56C0" w14:textId="7E24D932" w:rsidR="009826EC" w:rsidRPr="009826EC" w:rsidRDefault="009826EC" w:rsidP="009826EC">
      <w:pPr>
        <w:shd w:val="clear" w:color="auto" w:fill="C7C8CA"/>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fldChar w:fldCharType="begin"/>
      </w:r>
      <w:r w:rsidRPr="009826EC">
        <w:rPr>
          <w:rFonts w:ascii="Times New Roman" w:eastAsia="Times New Roman" w:hAnsi="Times New Roman" w:cs="Times New Roman"/>
          <w:color w:val="000000"/>
        </w:rPr>
        <w:instrText xml:space="preserve"> INCLUDEPICTURE "/var/folders/56/wnp8pdsd019fkrmvxtft5_b00000gn/T/com.microsoft.Word/WebArchiveCopyPasteTempFiles/sq.jpg" \* MERGEFORMATINET </w:instrText>
      </w:r>
      <w:r w:rsidRPr="009826EC">
        <w:rPr>
          <w:rFonts w:ascii="Times New Roman" w:eastAsia="Times New Roman" w:hAnsi="Times New Roman" w:cs="Times New Roman"/>
          <w:color w:val="000000"/>
        </w:rPr>
        <w:fldChar w:fldCharType="separate"/>
      </w:r>
      <w:r w:rsidRPr="009826EC">
        <w:rPr>
          <w:rFonts w:ascii="Times New Roman" w:eastAsia="Times New Roman" w:hAnsi="Times New Roman" w:cs="Times New Roman"/>
          <w:noProof/>
          <w:color w:val="000000"/>
        </w:rPr>
        <w:drawing>
          <wp:inline distT="0" distB="0" distL="0" distR="0" wp14:anchorId="4F3B16E3" wp14:editId="1A64532F">
            <wp:extent cx="258445" cy="2387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445" cy="238760"/>
                    </a:xfrm>
                    <a:prstGeom prst="rect">
                      <a:avLst/>
                    </a:prstGeom>
                    <a:noFill/>
                    <a:ln>
                      <a:noFill/>
                    </a:ln>
                  </pic:spPr>
                </pic:pic>
              </a:graphicData>
            </a:graphic>
          </wp:inline>
        </w:drawing>
      </w:r>
      <w:r w:rsidRPr="009826EC">
        <w:rPr>
          <w:rFonts w:ascii="Times New Roman" w:eastAsia="Times New Roman" w:hAnsi="Times New Roman" w:cs="Times New Roman"/>
          <w:color w:val="000000"/>
        </w:rPr>
        <w:fldChar w:fldCharType="end"/>
      </w:r>
      <w:r w:rsidRPr="009826EC">
        <w:rPr>
          <w:rFonts w:ascii="Times New Roman" w:eastAsia="Times New Roman" w:hAnsi="Times New Roman" w:cs="Times New Roman"/>
          <w:color w:val="000000"/>
        </w:rPr>
        <w:t> </w:t>
      </w:r>
      <w:r w:rsidRPr="009826EC">
        <w:rPr>
          <w:rFonts w:ascii="Times New Roman" w:eastAsia="Times New Roman" w:hAnsi="Times New Roman" w:cs="Times New Roman"/>
          <w:i/>
          <w:iCs/>
          <w:color w:val="FFFFFF"/>
          <w:sz w:val="29"/>
          <w:szCs w:val="29"/>
        </w:rPr>
        <w:t>CHIMEL V. CALIFORNIA</w:t>
      </w:r>
      <w:r w:rsidRPr="009826EC">
        <w:rPr>
          <w:rFonts w:ascii="Times New Roman" w:eastAsia="Times New Roman" w:hAnsi="Times New Roman" w:cs="Times New Roman"/>
          <w:color w:val="FFFFFF"/>
          <w:sz w:val="29"/>
          <w:szCs w:val="29"/>
        </w:rPr>
        <w:t> (1969)</w:t>
      </w:r>
      <w:r w:rsidRPr="009826EC">
        <w:rPr>
          <w:rFonts w:ascii="Times New Roman" w:eastAsia="Times New Roman" w:hAnsi="Times New Roman" w:cs="Times New Roman"/>
          <w:color w:val="000000"/>
        </w:rPr>
        <w:t> </w:t>
      </w:r>
      <w:r w:rsidRPr="009826EC">
        <w:rPr>
          <w:rFonts w:ascii="Times New Roman" w:eastAsia="Times New Roman" w:hAnsi="Times New Roman" w:cs="Times New Roman"/>
          <w:color w:val="000000"/>
        </w:rPr>
        <w:t>Once a lawful arrest has been made, the police may search anywhere within the suspect's area of immediate control, meaning the area from which the suspect may grab a weapon or destroy evidence.</w:t>
      </w:r>
    </w:p>
    <w:p w14:paraId="790FBF9D" w14:textId="641A6403" w:rsidR="009826EC" w:rsidRPr="009826EC" w:rsidRDefault="009826EC" w:rsidP="009826EC">
      <w:pPr>
        <w:shd w:val="clear" w:color="auto" w:fill="C7C8CA"/>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fldChar w:fldCharType="begin"/>
      </w:r>
      <w:r w:rsidRPr="009826EC">
        <w:rPr>
          <w:rFonts w:ascii="Times New Roman" w:eastAsia="Times New Roman" w:hAnsi="Times New Roman" w:cs="Times New Roman"/>
          <w:color w:val="000000"/>
        </w:rPr>
        <w:instrText xml:space="preserve"> INCLUDEPICTURE "/var/folders/56/wnp8pdsd019fkrmvxtft5_b00000gn/T/com.microsoft.Word/WebArchiveCopyPasteTempFiles/sq.jpg" \* MERGEFORMATINET </w:instrText>
      </w:r>
      <w:r w:rsidRPr="009826EC">
        <w:rPr>
          <w:rFonts w:ascii="Times New Roman" w:eastAsia="Times New Roman" w:hAnsi="Times New Roman" w:cs="Times New Roman"/>
          <w:color w:val="000000"/>
        </w:rPr>
        <w:fldChar w:fldCharType="separate"/>
      </w:r>
      <w:r w:rsidRPr="009826EC">
        <w:rPr>
          <w:rFonts w:ascii="Times New Roman" w:eastAsia="Times New Roman" w:hAnsi="Times New Roman" w:cs="Times New Roman"/>
          <w:noProof/>
          <w:color w:val="000000"/>
        </w:rPr>
        <w:drawing>
          <wp:inline distT="0" distB="0" distL="0" distR="0" wp14:anchorId="28E9E7B2" wp14:editId="15D7ED7F">
            <wp:extent cx="258445" cy="2387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445" cy="238760"/>
                    </a:xfrm>
                    <a:prstGeom prst="rect">
                      <a:avLst/>
                    </a:prstGeom>
                    <a:noFill/>
                    <a:ln>
                      <a:noFill/>
                    </a:ln>
                  </pic:spPr>
                </pic:pic>
              </a:graphicData>
            </a:graphic>
          </wp:inline>
        </w:drawing>
      </w:r>
      <w:r w:rsidRPr="009826EC">
        <w:rPr>
          <w:rFonts w:ascii="Times New Roman" w:eastAsia="Times New Roman" w:hAnsi="Times New Roman" w:cs="Times New Roman"/>
          <w:color w:val="000000"/>
        </w:rPr>
        <w:fldChar w:fldCharType="end"/>
      </w:r>
      <w:r w:rsidRPr="009826EC">
        <w:rPr>
          <w:rFonts w:ascii="Times New Roman" w:eastAsia="Times New Roman" w:hAnsi="Times New Roman" w:cs="Times New Roman"/>
          <w:color w:val="000000"/>
        </w:rPr>
        <w:t> </w:t>
      </w:r>
      <w:r w:rsidRPr="009826EC">
        <w:rPr>
          <w:rFonts w:ascii="Times New Roman" w:eastAsia="Times New Roman" w:hAnsi="Times New Roman" w:cs="Times New Roman"/>
          <w:i/>
          <w:iCs/>
          <w:color w:val="FFFFFF"/>
          <w:sz w:val="29"/>
          <w:szCs w:val="29"/>
        </w:rPr>
        <w:t>MARYLAND V. GARRISON</w:t>
      </w:r>
      <w:r w:rsidRPr="009826EC">
        <w:rPr>
          <w:rFonts w:ascii="Times New Roman" w:eastAsia="Times New Roman" w:hAnsi="Times New Roman" w:cs="Times New Roman"/>
          <w:color w:val="FFFFFF"/>
          <w:sz w:val="29"/>
          <w:szCs w:val="29"/>
        </w:rPr>
        <w:t> (1987)</w:t>
      </w:r>
      <w:r w:rsidRPr="009826EC">
        <w:rPr>
          <w:rFonts w:ascii="Times New Roman" w:eastAsia="Times New Roman" w:hAnsi="Times New Roman" w:cs="Times New Roman"/>
          <w:color w:val="000000"/>
        </w:rPr>
        <w:t> </w:t>
      </w:r>
      <w:r w:rsidRPr="009826EC">
        <w:rPr>
          <w:rFonts w:ascii="Times New Roman" w:eastAsia="Times New Roman" w:hAnsi="Times New Roman" w:cs="Times New Roman"/>
          <w:color w:val="000000"/>
        </w:rPr>
        <w:t xml:space="preserve">The validity of a warrant must be judged </w:t>
      </w:r>
      <w:proofErr w:type="gramStart"/>
      <w:r w:rsidRPr="009826EC">
        <w:rPr>
          <w:rFonts w:ascii="Times New Roman" w:eastAsia="Times New Roman" w:hAnsi="Times New Roman" w:cs="Times New Roman"/>
          <w:color w:val="000000"/>
        </w:rPr>
        <w:t>in light of</w:t>
      </w:r>
      <w:proofErr w:type="gramEnd"/>
      <w:r w:rsidRPr="009826EC">
        <w:rPr>
          <w:rFonts w:ascii="Times New Roman" w:eastAsia="Times New Roman" w:hAnsi="Times New Roman" w:cs="Times New Roman"/>
          <w:color w:val="000000"/>
        </w:rPr>
        <w:t xml:space="preserve"> the “information available to the officers at the time they obtained the warrant.”</w:t>
      </w:r>
    </w:p>
    <w:p w14:paraId="6C36EF41" w14:textId="0BEE6A15" w:rsidR="009826EC" w:rsidRPr="009826EC" w:rsidRDefault="009826EC" w:rsidP="009826EC">
      <w:pPr>
        <w:shd w:val="clear" w:color="auto" w:fill="C7C8CA"/>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fldChar w:fldCharType="begin"/>
      </w:r>
      <w:r w:rsidRPr="009826EC">
        <w:rPr>
          <w:rFonts w:ascii="Times New Roman" w:eastAsia="Times New Roman" w:hAnsi="Times New Roman" w:cs="Times New Roman"/>
          <w:color w:val="000000"/>
        </w:rPr>
        <w:instrText xml:space="preserve"> INCLUDEPICTURE "/var/folders/56/wnp8pdsd019fkrmvxtft5_b00000gn/T/com.microsoft.Word/WebArchiveCopyPasteTempFiles/sq.jpg" \* MERGEFORMATINET </w:instrText>
      </w:r>
      <w:r w:rsidRPr="009826EC">
        <w:rPr>
          <w:rFonts w:ascii="Times New Roman" w:eastAsia="Times New Roman" w:hAnsi="Times New Roman" w:cs="Times New Roman"/>
          <w:color w:val="000000"/>
        </w:rPr>
        <w:fldChar w:fldCharType="separate"/>
      </w:r>
      <w:r w:rsidRPr="009826EC">
        <w:rPr>
          <w:rFonts w:ascii="Times New Roman" w:eastAsia="Times New Roman" w:hAnsi="Times New Roman" w:cs="Times New Roman"/>
          <w:noProof/>
          <w:color w:val="000000"/>
        </w:rPr>
        <w:drawing>
          <wp:inline distT="0" distB="0" distL="0" distR="0" wp14:anchorId="306A5A5A" wp14:editId="17BED630">
            <wp:extent cx="258445" cy="2387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445" cy="238760"/>
                    </a:xfrm>
                    <a:prstGeom prst="rect">
                      <a:avLst/>
                    </a:prstGeom>
                    <a:noFill/>
                    <a:ln>
                      <a:noFill/>
                    </a:ln>
                  </pic:spPr>
                </pic:pic>
              </a:graphicData>
            </a:graphic>
          </wp:inline>
        </w:drawing>
      </w:r>
      <w:r w:rsidRPr="009826EC">
        <w:rPr>
          <w:rFonts w:ascii="Times New Roman" w:eastAsia="Times New Roman" w:hAnsi="Times New Roman" w:cs="Times New Roman"/>
          <w:color w:val="000000"/>
        </w:rPr>
        <w:fldChar w:fldCharType="end"/>
      </w:r>
      <w:r w:rsidRPr="009826EC">
        <w:rPr>
          <w:rFonts w:ascii="Times New Roman" w:eastAsia="Times New Roman" w:hAnsi="Times New Roman" w:cs="Times New Roman"/>
          <w:color w:val="000000"/>
        </w:rPr>
        <w:t> </w:t>
      </w:r>
      <w:r w:rsidRPr="009826EC">
        <w:rPr>
          <w:rFonts w:ascii="Times New Roman" w:eastAsia="Times New Roman" w:hAnsi="Times New Roman" w:cs="Times New Roman"/>
          <w:i/>
          <w:iCs/>
          <w:color w:val="FFFFFF"/>
          <w:sz w:val="29"/>
          <w:szCs w:val="29"/>
        </w:rPr>
        <w:t>GEORGIA V. RANDOLPH</w:t>
      </w:r>
      <w:r w:rsidRPr="009826EC">
        <w:rPr>
          <w:rFonts w:ascii="Times New Roman" w:eastAsia="Times New Roman" w:hAnsi="Times New Roman" w:cs="Times New Roman"/>
          <w:color w:val="FFFFFF"/>
          <w:sz w:val="29"/>
          <w:szCs w:val="29"/>
        </w:rPr>
        <w:t> (2006)</w:t>
      </w:r>
      <w:r w:rsidRPr="009826EC">
        <w:rPr>
          <w:rFonts w:ascii="Times New Roman" w:eastAsia="Times New Roman" w:hAnsi="Times New Roman" w:cs="Times New Roman"/>
          <w:color w:val="000000"/>
        </w:rPr>
        <w:t> </w:t>
      </w:r>
      <w:r w:rsidRPr="009826EC">
        <w:rPr>
          <w:rFonts w:ascii="Times New Roman" w:eastAsia="Times New Roman" w:hAnsi="Times New Roman" w:cs="Times New Roman"/>
          <w:color w:val="000000"/>
        </w:rPr>
        <w:t>A police search without a warrant is unconstitutional if one occupant consents to a search and the other refuses to give consent.</w:t>
      </w:r>
    </w:p>
    <w:p w14:paraId="12858F52" w14:textId="101FD3BA" w:rsidR="009826EC" w:rsidRPr="009826EC" w:rsidRDefault="009826EC" w:rsidP="009826EC">
      <w:pPr>
        <w:shd w:val="clear" w:color="auto" w:fill="C7C8CA"/>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fldChar w:fldCharType="begin"/>
      </w:r>
      <w:r w:rsidRPr="009826EC">
        <w:rPr>
          <w:rFonts w:ascii="Times New Roman" w:eastAsia="Times New Roman" w:hAnsi="Times New Roman" w:cs="Times New Roman"/>
          <w:color w:val="000000"/>
        </w:rPr>
        <w:instrText xml:space="preserve"> INCLUDEPICTURE "/var/folders/56/wnp8pdsd019fkrmvxtft5_b00000gn/T/com.microsoft.Word/WebArchiveCopyPasteTempFiles/sq.jpg" \* MERGEFORMATINET </w:instrText>
      </w:r>
      <w:r w:rsidRPr="009826EC">
        <w:rPr>
          <w:rFonts w:ascii="Times New Roman" w:eastAsia="Times New Roman" w:hAnsi="Times New Roman" w:cs="Times New Roman"/>
          <w:color w:val="000000"/>
        </w:rPr>
        <w:fldChar w:fldCharType="separate"/>
      </w:r>
      <w:r w:rsidRPr="009826EC">
        <w:rPr>
          <w:rFonts w:ascii="Times New Roman" w:eastAsia="Times New Roman" w:hAnsi="Times New Roman" w:cs="Times New Roman"/>
          <w:noProof/>
          <w:color w:val="000000"/>
        </w:rPr>
        <w:drawing>
          <wp:inline distT="0" distB="0" distL="0" distR="0" wp14:anchorId="7B18FB7E" wp14:editId="0F2BB9FF">
            <wp:extent cx="258445" cy="2387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445" cy="238760"/>
                    </a:xfrm>
                    <a:prstGeom prst="rect">
                      <a:avLst/>
                    </a:prstGeom>
                    <a:noFill/>
                    <a:ln>
                      <a:noFill/>
                    </a:ln>
                  </pic:spPr>
                </pic:pic>
              </a:graphicData>
            </a:graphic>
          </wp:inline>
        </w:drawing>
      </w:r>
      <w:r w:rsidRPr="009826EC">
        <w:rPr>
          <w:rFonts w:ascii="Times New Roman" w:eastAsia="Times New Roman" w:hAnsi="Times New Roman" w:cs="Times New Roman"/>
          <w:color w:val="000000"/>
        </w:rPr>
        <w:fldChar w:fldCharType="end"/>
      </w:r>
      <w:r w:rsidRPr="009826EC">
        <w:rPr>
          <w:rFonts w:ascii="Times New Roman" w:eastAsia="Times New Roman" w:hAnsi="Times New Roman" w:cs="Times New Roman"/>
          <w:color w:val="000000"/>
        </w:rPr>
        <w:t> </w:t>
      </w:r>
      <w:r w:rsidRPr="009826EC">
        <w:rPr>
          <w:rFonts w:ascii="Times New Roman" w:eastAsia="Times New Roman" w:hAnsi="Times New Roman" w:cs="Times New Roman"/>
          <w:i/>
          <w:iCs/>
          <w:color w:val="FFFFFF"/>
          <w:sz w:val="29"/>
          <w:szCs w:val="29"/>
        </w:rPr>
        <w:t>SAFFORD UNIFIED SCHOOL DISTRICT V. REDDING</w:t>
      </w:r>
      <w:r w:rsidRPr="009826EC">
        <w:rPr>
          <w:rFonts w:ascii="Times New Roman" w:eastAsia="Times New Roman" w:hAnsi="Times New Roman" w:cs="Times New Roman"/>
          <w:color w:val="FFFFFF"/>
          <w:sz w:val="29"/>
          <w:szCs w:val="29"/>
        </w:rPr>
        <w:t> (2009)</w:t>
      </w:r>
      <w:r w:rsidRPr="009826EC">
        <w:rPr>
          <w:rFonts w:ascii="Times New Roman" w:eastAsia="Times New Roman" w:hAnsi="Times New Roman" w:cs="Times New Roman"/>
          <w:color w:val="000000"/>
        </w:rPr>
        <w:t> </w:t>
      </w:r>
      <w:r w:rsidRPr="009826EC">
        <w:rPr>
          <w:rFonts w:ascii="Times New Roman" w:eastAsia="Times New Roman" w:hAnsi="Times New Roman" w:cs="Times New Roman"/>
          <w:color w:val="000000"/>
        </w:rPr>
        <w:t>The warrantless search of a thirteen-year-old student's underwear without reasonable suspicion of school rules violation is unconstitutional.</w:t>
      </w:r>
    </w:p>
    <w:p w14:paraId="28D7F643" w14:textId="77777777" w:rsidR="009826EC" w:rsidRPr="009826EC" w:rsidRDefault="009826EC" w:rsidP="009826EC">
      <w:pPr>
        <w:shd w:val="clear" w:color="auto" w:fill="6D6E71"/>
        <w:rPr>
          <w:rFonts w:ascii="Times New Roman" w:eastAsia="Times New Roman" w:hAnsi="Times New Roman" w:cs="Times New Roman"/>
          <w:b/>
          <w:bCs/>
          <w:color w:val="FFFFFF"/>
          <w:sz w:val="29"/>
          <w:szCs w:val="29"/>
        </w:rPr>
      </w:pPr>
      <w:r w:rsidRPr="009826EC">
        <w:rPr>
          <w:rFonts w:ascii="Times New Roman" w:eastAsia="Times New Roman" w:hAnsi="Times New Roman" w:cs="Times New Roman"/>
          <w:b/>
          <w:bCs/>
          <w:color w:val="FFFFFF"/>
          <w:sz w:val="29"/>
          <w:szCs w:val="29"/>
        </w:rPr>
        <w:t>CHAPTER OUTLINE</w:t>
      </w:r>
    </w:p>
    <w:p w14:paraId="000F2808"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24" w:anchor="ch7-1" w:history="1">
        <w:r w:rsidR="009826EC" w:rsidRPr="009826EC">
          <w:rPr>
            <w:rFonts w:ascii="Times New Roman" w:eastAsia="Times New Roman" w:hAnsi="Times New Roman" w:cs="Times New Roman"/>
            <w:b/>
            <w:bCs/>
            <w:color w:val="000000"/>
          </w:rPr>
          <w:t>THE FOURTH AMENDMENT AS APPLIED TO THINGS</w:t>
        </w:r>
      </w:hyperlink>
    </w:p>
    <w:p w14:paraId="607F7D84"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25" w:anchor="ch7-2" w:history="1">
        <w:r w:rsidR="009826EC" w:rsidRPr="009826EC">
          <w:rPr>
            <w:rFonts w:ascii="Times New Roman" w:eastAsia="Times New Roman" w:hAnsi="Times New Roman" w:cs="Times New Roman"/>
            <w:b/>
            <w:bCs/>
            <w:color w:val="000000"/>
          </w:rPr>
          <w:t>THE RIGHT TO PRIVACY IS A CONSTITUTIONAL RIGHT</w:t>
        </w:r>
      </w:hyperlink>
    </w:p>
    <w:p w14:paraId="15FF1D27"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26" w:anchor="ch7-3" w:history="1">
        <w:r w:rsidR="009826EC" w:rsidRPr="009826EC">
          <w:rPr>
            <w:rFonts w:ascii="Times New Roman" w:eastAsia="Times New Roman" w:hAnsi="Times New Roman" w:cs="Times New Roman"/>
            <w:b/>
            <w:bCs/>
            <w:color w:val="000000"/>
          </w:rPr>
          <w:t>“REASONABLE EXPECTATION OF PRIVACY” DEFINED</w:t>
        </w:r>
      </w:hyperlink>
    </w:p>
    <w:p w14:paraId="770E2D5E"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27" w:anchor="ch7-4" w:history="1">
        <w:r w:rsidR="009826EC" w:rsidRPr="009826EC">
          <w:rPr>
            <w:rFonts w:ascii="Times New Roman" w:eastAsia="Times New Roman" w:hAnsi="Times New Roman" w:cs="Times New Roman"/>
            <w:b/>
            <w:bCs/>
            <w:color w:val="000000"/>
          </w:rPr>
          <w:t>SEARCH DEFINED</w:t>
        </w:r>
      </w:hyperlink>
    </w:p>
    <w:p w14:paraId="75EF64EF"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28" w:anchor="ch7-5" w:history="1">
        <w:r w:rsidR="009826EC" w:rsidRPr="009826EC">
          <w:rPr>
            <w:rFonts w:ascii="Times New Roman" w:eastAsia="Times New Roman" w:hAnsi="Times New Roman" w:cs="Times New Roman"/>
            <w:b/>
            <w:bCs/>
            <w:color w:val="000000"/>
          </w:rPr>
          <w:t>SEIZURE DEFINED</w:t>
        </w:r>
      </w:hyperlink>
    </w:p>
    <w:p w14:paraId="7C001357"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29" w:anchor="ch7-6" w:history="1">
        <w:r w:rsidR="009826EC" w:rsidRPr="009826EC">
          <w:rPr>
            <w:rFonts w:ascii="Times New Roman" w:eastAsia="Times New Roman" w:hAnsi="Times New Roman" w:cs="Times New Roman"/>
            <w:b/>
            <w:bCs/>
            <w:color w:val="000000"/>
          </w:rPr>
          <w:t>SEARCHES AND SEIZURES: THE GENERAL RULE</w:t>
        </w:r>
      </w:hyperlink>
    </w:p>
    <w:p w14:paraId="29F2EDD0"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0" w:anchor="ch7-7" w:history="1">
        <w:r w:rsidR="009826EC" w:rsidRPr="009826EC">
          <w:rPr>
            <w:rFonts w:ascii="Times New Roman" w:eastAsia="Times New Roman" w:hAnsi="Times New Roman" w:cs="Times New Roman"/>
            <w:b/>
            <w:bCs/>
            <w:color w:val="000000"/>
          </w:rPr>
          <w:t>THINGS SUBJECT TO SEARCH AND SEIZURE</w:t>
        </w:r>
      </w:hyperlink>
    </w:p>
    <w:p w14:paraId="679A0C1E"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1" w:anchor="ch7-8" w:history="1">
        <w:r w:rsidR="009826EC" w:rsidRPr="009826EC">
          <w:rPr>
            <w:rFonts w:ascii="Times New Roman" w:eastAsia="Times New Roman" w:hAnsi="Times New Roman" w:cs="Times New Roman"/>
            <w:b/>
            <w:bCs/>
            <w:color w:val="000000"/>
          </w:rPr>
          <w:t>THE SCOPE OF THE SEARCH</w:t>
        </w:r>
      </w:hyperlink>
    </w:p>
    <w:p w14:paraId="1BCFC6A6"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2" w:anchor="ch7-9" w:history="1">
        <w:r w:rsidR="009826EC" w:rsidRPr="009826EC">
          <w:rPr>
            <w:rFonts w:ascii="Times New Roman" w:eastAsia="Times New Roman" w:hAnsi="Times New Roman" w:cs="Times New Roman"/>
            <w:b/>
            <w:bCs/>
            <w:color w:val="000000"/>
          </w:rPr>
          <w:t>THE TIME ALLOWED FOR A SEARCH</w:t>
        </w:r>
      </w:hyperlink>
    </w:p>
    <w:p w14:paraId="0D04896D"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3" w:anchor="ch7-10" w:history="1">
        <w:r w:rsidR="009826EC" w:rsidRPr="009826EC">
          <w:rPr>
            <w:rFonts w:ascii="Times New Roman" w:eastAsia="Times New Roman" w:hAnsi="Times New Roman" w:cs="Times New Roman"/>
            <w:b/>
            <w:bCs/>
            <w:color w:val="000000"/>
          </w:rPr>
          <w:t>THE PROCEDURE AFTER THE SEARCH</w:t>
        </w:r>
      </w:hyperlink>
    </w:p>
    <w:p w14:paraId="0218DA24"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4" w:anchor="ch7-11" w:history="1">
        <w:r w:rsidR="009826EC" w:rsidRPr="009826EC">
          <w:rPr>
            <w:rFonts w:ascii="Times New Roman" w:eastAsia="Times New Roman" w:hAnsi="Times New Roman" w:cs="Times New Roman"/>
            <w:b/>
            <w:bCs/>
            <w:color w:val="000000"/>
          </w:rPr>
          <w:t>SEARCH AND ARREST WARRANTS COMPARED</w:t>
        </w:r>
      </w:hyperlink>
    </w:p>
    <w:p w14:paraId="0E754BC2"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5" w:anchor="ch7-12" w:history="1">
        <w:r w:rsidR="009826EC" w:rsidRPr="009826EC">
          <w:rPr>
            <w:rFonts w:ascii="Times New Roman" w:eastAsia="Times New Roman" w:hAnsi="Times New Roman" w:cs="Times New Roman"/>
            <w:b/>
            <w:bCs/>
            <w:color w:val="000000"/>
          </w:rPr>
          <w:t>SEARCH AND SEIZURE WITH A WARRANT</w:t>
        </w:r>
      </w:hyperlink>
    </w:p>
    <w:p w14:paraId="44E7F931"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6" w:anchor="ch7-13" w:history="1">
        <w:r w:rsidR="009826EC" w:rsidRPr="009826EC">
          <w:rPr>
            <w:rFonts w:ascii="Times New Roman" w:eastAsia="Times New Roman" w:hAnsi="Times New Roman" w:cs="Times New Roman"/>
            <w:b/>
            <w:bCs/>
            <w:color w:val="000000"/>
          </w:rPr>
          <w:t>FOUR REQUIREMENTS</w:t>
        </w:r>
      </w:hyperlink>
    </w:p>
    <w:p w14:paraId="124FA19F"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7" w:anchor="ch7-14" w:history="1">
        <w:r w:rsidR="009826EC" w:rsidRPr="009826EC">
          <w:rPr>
            <w:rFonts w:ascii="Times New Roman" w:eastAsia="Times New Roman" w:hAnsi="Times New Roman" w:cs="Times New Roman"/>
            <w:color w:val="000000"/>
          </w:rPr>
          <w:t>Probable Cause</w:t>
        </w:r>
      </w:hyperlink>
    </w:p>
    <w:p w14:paraId="13F81BEB"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8" w:anchor="ch7-15" w:history="1">
        <w:r w:rsidR="009826EC" w:rsidRPr="009826EC">
          <w:rPr>
            <w:rFonts w:ascii="Times New Roman" w:eastAsia="Times New Roman" w:hAnsi="Times New Roman" w:cs="Times New Roman"/>
            <w:color w:val="000000"/>
          </w:rPr>
          <w:t>A Supporting Oath or Affirmation</w:t>
        </w:r>
      </w:hyperlink>
    </w:p>
    <w:p w14:paraId="3053C0F7"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39" w:anchor="ch7-16" w:history="1">
        <w:r w:rsidR="009826EC" w:rsidRPr="009826EC">
          <w:rPr>
            <w:rFonts w:ascii="Times New Roman" w:eastAsia="Times New Roman" w:hAnsi="Times New Roman" w:cs="Times New Roman"/>
            <w:color w:val="000000"/>
          </w:rPr>
          <w:t>A Description of the Place to Be Searched and Persons or Things to Be Seized</w:t>
        </w:r>
      </w:hyperlink>
    </w:p>
    <w:p w14:paraId="181E9F38"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0" w:anchor="ch7-17" w:history="1">
        <w:r w:rsidR="009826EC" w:rsidRPr="009826EC">
          <w:rPr>
            <w:rFonts w:ascii="Times New Roman" w:eastAsia="Times New Roman" w:hAnsi="Times New Roman" w:cs="Times New Roman"/>
            <w:color w:val="000000"/>
          </w:rPr>
          <w:t>The Signature of a Magistrate</w:t>
        </w:r>
      </w:hyperlink>
    </w:p>
    <w:p w14:paraId="69CEF8DD"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1" w:anchor="ch7-18" w:history="1">
        <w:r w:rsidR="009826EC" w:rsidRPr="009826EC">
          <w:rPr>
            <w:rFonts w:ascii="Times New Roman" w:eastAsia="Times New Roman" w:hAnsi="Times New Roman" w:cs="Times New Roman"/>
            <w:b/>
            <w:bCs/>
            <w:color w:val="000000"/>
          </w:rPr>
          <w:t>THE PROCEDURE FOR SERVING A WARRANT</w:t>
        </w:r>
      </w:hyperlink>
    </w:p>
    <w:p w14:paraId="442E281A"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2" w:anchor="ch7-19" w:history="1">
        <w:r w:rsidR="009826EC" w:rsidRPr="009826EC">
          <w:rPr>
            <w:rFonts w:ascii="Times New Roman" w:eastAsia="Times New Roman" w:hAnsi="Times New Roman" w:cs="Times New Roman"/>
            <w:b/>
            <w:bCs/>
            <w:color w:val="000000"/>
          </w:rPr>
          <w:t>SEARCH AND SEIZURE WITHOUT A WARRANT</w:t>
        </w:r>
      </w:hyperlink>
    </w:p>
    <w:p w14:paraId="39C543EA"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3" w:anchor="ch7-20" w:history="1">
        <w:r w:rsidR="009826EC" w:rsidRPr="009826EC">
          <w:rPr>
            <w:rFonts w:ascii="Times New Roman" w:eastAsia="Times New Roman" w:hAnsi="Times New Roman" w:cs="Times New Roman"/>
            <w:color w:val="000000"/>
          </w:rPr>
          <w:t>The Searches with Consent Exception</w:t>
        </w:r>
      </w:hyperlink>
    </w:p>
    <w:p w14:paraId="5FCB3302"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4" w:anchor="ch7-21" w:history="1">
        <w:r w:rsidR="009826EC" w:rsidRPr="009826EC">
          <w:rPr>
            <w:rFonts w:ascii="Times New Roman" w:eastAsia="Times New Roman" w:hAnsi="Times New Roman" w:cs="Times New Roman"/>
            <w:color w:val="000000"/>
          </w:rPr>
          <w:t>The Search Incident to Lawful Arrest Exception</w:t>
        </w:r>
      </w:hyperlink>
    </w:p>
    <w:p w14:paraId="1170CD1D"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5" w:anchor="ch7-22" w:history="1">
        <w:r w:rsidR="009826EC" w:rsidRPr="009826EC">
          <w:rPr>
            <w:rFonts w:ascii="Times New Roman" w:eastAsia="Times New Roman" w:hAnsi="Times New Roman" w:cs="Times New Roman"/>
            <w:color w:val="000000"/>
          </w:rPr>
          <w:t>The Exigent Circumstances Exception</w:t>
        </w:r>
      </w:hyperlink>
    </w:p>
    <w:p w14:paraId="2F798EE7"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6" w:anchor="ch7-23" w:history="1">
        <w:r w:rsidR="009826EC" w:rsidRPr="009826EC">
          <w:rPr>
            <w:rFonts w:ascii="Times New Roman" w:eastAsia="Times New Roman" w:hAnsi="Times New Roman" w:cs="Times New Roman"/>
            <w:b/>
            <w:bCs/>
            <w:color w:val="000000"/>
          </w:rPr>
          <w:t>THE SPECIAL NEEDS BEYOND LAW ENFORCEMENT EXCEPTION</w:t>
        </w:r>
      </w:hyperlink>
    </w:p>
    <w:p w14:paraId="656C04B0"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7" w:anchor="ch7-24" w:history="1">
        <w:r w:rsidR="009826EC" w:rsidRPr="009826EC">
          <w:rPr>
            <w:rFonts w:ascii="Times New Roman" w:eastAsia="Times New Roman" w:hAnsi="Times New Roman" w:cs="Times New Roman"/>
            <w:color w:val="000000"/>
          </w:rPr>
          <w:t>Public School Searches</w:t>
        </w:r>
      </w:hyperlink>
    </w:p>
    <w:p w14:paraId="7BFCCCCB"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8" w:anchor="ch7-25" w:history="1">
        <w:r w:rsidR="009826EC" w:rsidRPr="009826EC">
          <w:rPr>
            <w:rFonts w:ascii="Times New Roman" w:eastAsia="Times New Roman" w:hAnsi="Times New Roman" w:cs="Times New Roman"/>
            <w:color w:val="000000"/>
          </w:rPr>
          <w:t>Testing Non-College Students for Drugs</w:t>
        </w:r>
      </w:hyperlink>
    </w:p>
    <w:p w14:paraId="2C49876D"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49" w:anchor="ch7-26" w:history="1">
        <w:r w:rsidR="009826EC" w:rsidRPr="009826EC">
          <w:rPr>
            <w:rFonts w:ascii="Times New Roman" w:eastAsia="Times New Roman" w:hAnsi="Times New Roman" w:cs="Times New Roman"/>
            <w:color w:val="000000"/>
          </w:rPr>
          <w:t>Airport Searches</w:t>
        </w:r>
      </w:hyperlink>
    </w:p>
    <w:p w14:paraId="1BDD27DB"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0" w:anchor="ch7-27" w:history="1">
        <w:r w:rsidR="009826EC" w:rsidRPr="009826EC">
          <w:rPr>
            <w:rFonts w:ascii="Times New Roman" w:eastAsia="Times New Roman" w:hAnsi="Times New Roman" w:cs="Times New Roman"/>
            <w:color w:val="000000"/>
          </w:rPr>
          <w:t>Searches of Probationers and Parolees</w:t>
        </w:r>
      </w:hyperlink>
    </w:p>
    <w:p w14:paraId="0E4ECC6F"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1" w:anchor="ch7-28" w:history="1">
        <w:r w:rsidR="009826EC" w:rsidRPr="009826EC">
          <w:rPr>
            <w:rFonts w:ascii="Times New Roman" w:eastAsia="Times New Roman" w:hAnsi="Times New Roman" w:cs="Times New Roman"/>
            <w:color w:val="000000"/>
          </w:rPr>
          <w:t>The Police and Special Needs</w:t>
        </w:r>
      </w:hyperlink>
    </w:p>
    <w:p w14:paraId="000589EE"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2" w:anchor="ch7-29" w:history="1">
        <w:r w:rsidR="009826EC" w:rsidRPr="009826EC">
          <w:rPr>
            <w:rFonts w:ascii="Times New Roman" w:eastAsia="Times New Roman" w:hAnsi="Times New Roman" w:cs="Times New Roman"/>
            <w:b/>
            <w:bCs/>
            <w:color w:val="000000"/>
          </w:rPr>
          <w:t>ADMINISTRATIVE SEARCHES AND INSPECTIONS</w:t>
        </w:r>
      </w:hyperlink>
    </w:p>
    <w:p w14:paraId="6F892D80"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3" w:anchor="ch7-30" w:history="1">
        <w:r w:rsidR="009826EC" w:rsidRPr="009826EC">
          <w:rPr>
            <w:rFonts w:ascii="Times New Roman" w:eastAsia="Times New Roman" w:hAnsi="Times New Roman" w:cs="Times New Roman"/>
            <w:b/>
            <w:bCs/>
            <w:color w:val="000000"/>
          </w:rPr>
          <w:t>WARRANTLESS SEARCHES MUST BE CONTEMPORANEOUS</w:t>
        </w:r>
      </w:hyperlink>
    </w:p>
    <w:p w14:paraId="7CA3709F"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4" w:anchor="ch7-31" w:history="1">
        <w:r w:rsidR="009826EC" w:rsidRPr="009826EC">
          <w:rPr>
            <w:rFonts w:ascii="Times New Roman" w:eastAsia="Times New Roman" w:hAnsi="Times New Roman" w:cs="Times New Roman"/>
            <w:b/>
            <w:bCs/>
            <w:color w:val="000000"/>
          </w:rPr>
          <w:t>THE ANNOUNCEMENT REQUIREMENT</w:t>
        </w:r>
      </w:hyperlink>
    </w:p>
    <w:p w14:paraId="25248BC2"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5" w:anchor="ch7-32" w:history="1">
        <w:r w:rsidR="009826EC" w:rsidRPr="009826EC">
          <w:rPr>
            <w:rFonts w:ascii="Times New Roman" w:eastAsia="Times New Roman" w:hAnsi="Times New Roman" w:cs="Times New Roman"/>
            <w:b/>
            <w:bCs/>
            <w:color w:val="000000"/>
          </w:rPr>
          <w:t>OTHER SEARCH AND SEIZURE ISSUES</w:t>
        </w:r>
      </w:hyperlink>
    </w:p>
    <w:p w14:paraId="06125F08"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6" w:anchor="ch7-33" w:history="1">
        <w:r w:rsidR="009826EC" w:rsidRPr="009826EC">
          <w:rPr>
            <w:rFonts w:ascii="Times New Roman" w:eastAsia="Times New Roman" w:hAnsi="Times New Roman" w:cs="Times New Roman"/>
            <w:color w:val="000000"/>
          </w:rPr>
          <w:t>The Use of Police Dogs in Searches</w:t>
        </w:r>
      </w:hyperlink>
    </w:p>
    <w:p w14:paraId="09D46950"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7" w:anchor="ch7-34" w:history="1">
        <w:r w:rsidR="009826EC" w:rsidRPr="009826EC">
          <w:rPr>
            <w:rFonts w:ascii="Times New Roman" w:eastAsia="Times New Roman" w:hAnsi="Times New Roman" w:cs="Times New Roman"/>
            <w:color w:val="000000"/>
          </w:rPr>
          <w:t>Searches and Seizures of Computers</w:t>
        </w:r>
      </w:hyperlink>
    </w:p>
    <w:p w14:paraId="34D8C667"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8" w:anchor="ch7-35" w:history="1">
        <w:r w:rsidR="009826EC" w:rsidRPr="009826EC">
          <w:rPr>
            <w:rFonts w:ascii="Times New Roman" w:eastAsia="Times New Roman" w:hAnsi="Times New Roman" w:cs="Times New Roman"/>
            <w:color w:val="000000"/>
          </w:rPr>
          <w:t>Searches and Seizures of Text Messages in a Cell Phone</w:t>
        </w:r>
      </w:hyperlink>
    </w:p>
    <w:p w14:paraId="7B403AED"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59" w:anchor="ch7-36" w:history="1">
        <w:r w:rsidR="009826EC" w:rsidRPr="009826EC">
          <w:rPr>
            <w:rFonts w:ascii="Times New Roman" w:eastAsia="Times New Roman" w:hAnsi="Times New Roman" w:cs="Times New Roman"/>
            <w:color w:val="000000"/>
          </w:rPr>
          <w:t>Governmental Seizures of E-mails</w:t>
        </w:r>
      </w:hyperlink>
    </w:p>
    <w:p w14:paraId="6A218A4F"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60" w:anchor="ch7-37" w:history="1">
        <w:r w:rsidR="009826EC" w:rsidRPr="009826EC">
          <w:rPr>
            <w:rFonts w:ascii="Times New Roman" w:eastAsia="Times New Roman" w:hAnsi="Times New Roman" w:cs="Times New Roman"/>
            <w:color w:val="000000"/>
          </w:rPr>
          <w:t>Drug Testing Public Employees, Including Police Officers</w:t>
        </w:r>
      </w:hyperlink>
    </w:p>
    <w:p w14:paraId="23C3EE6A"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61" w:anchor="ch7-38" w:history="1">
        <w:r w:rsidR="009826EC" w:rsidRPr="009826EC">
          <w:rPr>
            <w:rFonts w:ascii="Times New Roman" w:eastAsia="Times New Roman" w:hAnsi="Times New Roman" w:cs="Times New Roman"/>
            <w:color w:val="000000"/>
          </w:rPr>
          <w:t>Searches and Seizures of Employees Other Than Drug Testing</w:t>
        </w:r>
      </w:hyperlink>
    </w:p>
    <w:p w14:paraId="2E9E19B2"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62" w:anchor="ch7-39" w:history="1">
        <w:r w:rsidR="009826EC" w:rsidRPr="009826EC">
          <w:rPr>
            <w:rFonts w:ascii="Times New Roman" w:eastAsia="Times New Roman" w:hAnsi="Times New Roman" w:cs="Times New Roman"/>
            <w:color w:val="000000"/>
          </w:rPr>
          <w:t>Squeezing Luggage in a Bus</w:t>
        </w:r>
      </w:hyperlink>
    </w:p>
    <w:p w14:paraId="024C9C8E"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63" w:anchor="ch7-40" w:history="1">
        <w:r w:rsidR="009826EC" w:rsidRPr="009826EC">
          <w:rPr>
            <w:rFonts w:ascii="Times New Roman" w:eastAsia="Times New Roman" w:hAnsi="Times New Roman" w:cs="Times New Roman"/>
            <w:color w:val="000000"/>
          </w:rPr>
          <w:t>Searches and Seizures by Private Persons</w:t>
        </w:r>
      </w:hyperlink>
    </w:p>
    <w:p w14:paraId="501EB3B9" w14:textId="77777777" w:rsidR="009826EC" w:rsidRPr="009826EC" w:rsidRDefault="00872E7F" w:rsidP="009826EC">
      <w:pPr>
        <w:shd w:val="clear" w:color="auto" w:fill="F5F5F5"/>
        <w:spacing w:before="24" w:after="48"/>
        <w:jc w:val="both"/>
        <w:rPr>
          <w:rFonts w:ascii="Times New Roman" w:eastAsia="Times New Roman" w:hAnsi="Times New Roman" w:cs="Times New Roman"/>
          <w:color w:val="000000"/>
        </w:rPr>
      </w:pPr>
      <w:hyperlink r:id="rId64" w:anchor="ch7-41" w:history="1">
        <w:r w:rsidR="009826EC" w:rsidRPr="009826EC">
          <w:rPr>
            <w:rFonts w:ascii="Times New Roman" w:eastAsia="Times New Roman" w:hAnsi="Times New Roman" w:cs="Times New Roman"/>
            <w:color w:val="000000"/>
          </w:rPr>
          <w:t>Searches by Off-Duty Officers</w:t>
        </w:r>
      </w:hyperlink>
    </w:p>
    <w:p w14:paraId="44E1ACA1" w14:textId="77777777" w:rsidR="009826EC" w:rsidRPr="009826EC" w:rsidRDefault="00872E7F" w:rsidP="009826EC">
      <w:pPr>
        <w:shd w:val="clear" w:color="auto" w:fill="F5F5F5"/>
        <w:spacing w:before="24"/>
        <w:jc w:val="both"/>
        <w:rPr>
          <w:rFonts w:ascii="Times New Roman" w:eastAsia="Times New Roman" w:hAnsi="Times New Roman" w:cs="Times New Roman"/>
          <w:color w:val="000000"/>
        </w:rPr>
      </w:pPr>
      <w:hyperlink r:id="rId65" w:anchor="ch7-42" w:history="1">
        <w:r w:rsidR="009826EC" w:rsidRPr="009826EC">
          <w:rPr>
            <w:rFonts w:ascii="Times New Roman" w:eastAsia="Times New Roman" w:hAnsi="Times New Roman" w:cs="Times New Roman"/>
            <w:color w:val="000000"/>
          </w:rPr>
          <w:t>Surgery to Remove a Bullet from a Suspect</w:t>
        </w:r>
      </w:hyperlink>
    </w:p>
    <w:p w14:paraId="20A886F7" w14:textId="77777777" w:rsidR="009826EC" w:rsidRPr="009826EC" w:rsidRDefault="00872E7F" w:rsidP="009826EC">
      <w:pPr>
        <w:shd w:val="clear" w:color="auto" w:fill="EDEEEE"/>
        <w:spacing w:before="240" w:after="120"/>
        <w:outlineLvl w:val="1"/>
        <w:rPr>
          <w:rFonts w:ascii="Times New Roman" w:eastAsia="Times New Roman" w:hAnsi="Times New Roman" w:cs="Times New Roman"/>
          <w:b/>
          <w:bCs/>
          <w:color w:val="000000"/>
          <w:sz w:val="31"/>
          <w:szCs w:val="31"/>
        </w:rPr>
      </w:pPr>
      <w:hyperlink r:id="rId66" w:anchor="toc-ch7-1" w:history="1">
        <w:r w:rsidR="009826EC" w:rsidRPr="009826EC">
          <w:rPr>
            <w:rFonts w:ascii="Times New Roman" w:eastAsia="Times New Roman" w:hAnsi="Times New Roman" w:cs="Times New Roman"/>
            <w:b/>
            <w:bCs/>
            <w:color w:val="000000"/>
            <w:sz w:val="31"/>
            <w:szCs w:val="31"/>
          </w:rPr>
          <w:t>THE FOURTH AMENDMENT AS APPLIED TO THINGS</w:t>
        </w:r>
      </w:hyperlink>
    </w:p>
    <w:p w14:paraId="7C4E6979" w14:textId="77777777" w:rsidR="009826EC" w:rsidRPr="009826EC" w:rsidRDefault="009826EC" w:rsidP="009826EC">
      <w:pPr>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This chapter discusses searches and seizures of </w:t>
      </w:r>
      <w:r w:rsidRPr="009826EC">
        <w:rPr>
          <w:rFonts w:ascii="Times New Roman" w:eastAsia="Times New Roman" w:hAnsi="Times New Roman" w:cs="Times New Roman"/>
          <w:i/>
          <w:iCs/>
          <w:color w:val="000000"/>
        </w:rPr>
        <w:t>things</w:t>
      </w:r>
      <w:r w:rsidRPr="009826EC">
        <w:rPr>
          <w:rFonts w:ascii="Times New Roman" w:eastAsia="Times New Roman" w:hAnsi="Times New Roman" w:cs="Times New Roman"/>
          <w:color w:val="000000"/>
        </w:rPr>
        <w:t>—as distinguished from seizures of </w:t>
      </w:r>
      <w:r w:rsidRPr="009826EC">
        <w:rPr>
          <w:rFonts w:ascii="Times New Roman" w:eastAsia="Times New Roman" w:hAnsi="Times New Roman" w:cs="Times New Roman"/>
          <w:i/>
          <w:iCs/>
          <w:color w:val="000000"/>
        </w:rPr>
        <w:t>persons</w:t>
      </w:r>
      <w:r w:rsidRPr="009826EC">
        <w:rPr>
          <w:rFonts w:ascii="Times New Roman" w:eastAsia="Times New Roman" w:hAnsi="Times New Roman" w:cs="Times New Roman"/>
          <w:color w:val="000000"/>
        </w:rPr>
        <w:t>, which are arrests. It does not deal with searches of motor vehicles, which are discussed in </w:t>
      </w:r>
      <w:hyperlink r:id="rId67" w:anchor="ch8" w:history="1">
        <w:r w:rsidRPr="009826EC">
          <w:rPr>
            <w:rFonts w:ascii="Times New Roman" w:eastAsia="Times New Roman" w:hAnsi="Times New Roman" w:cs="Times New Roman"/>
            <w:color w:val="0000FF"/>
          </w:rPr>
          <w:t>Chapter 8</w:t>
        </w:r>
      </w:hyperlink>
      <w:r w:rsidRPr="009826EC">
        <w:rPr>
          <w:rFonts w:ascii="Times New Roman" w:eastAsia="Times New Roman" w:hAnsi="Times New Roman" w:cs="Times New Roman"/>
          <w:color w:val="000000"/>
        </w:rPr>
        <w:t>. Both searches and seizures of things (this chapter) and searches and seizures of persons (</w:t>
      </w:r>
      <w:hyperlink r:id="rId68" w:anchor="ch6" w:history="1">
        <w:r w:rsidRPr="009826EC">
          <w:rPr>
            <w:rFonts w:ascii="Times New Roman" w:eastAsia="Times New Roman" w:hAnsi="Times New Roman" w:cs="Times New Roman"/>
            <w:color w:val="0000FF"/>
          </w:rPr>
          <w:t>Chapter 6</w:t>
        </w:r>
      </w:hyperlink>
      <w:r w:rsidRPr="009826EC">
        <w:rPr>
          <w:rFonts w:ascii="Times New Roman" w:eastAsia="Times New Roman" w:hAnsi="Times New Roman" w:cs="Times New Roman"/>
          <w:color w:val="000000"/>
        </w:rPr>
        <w:t>) are governed by the Fourth Amendment of the U.S. Constitution, which states:</w:t>
      </w:r>
    </w:p>
    <w:p w14:paraId="67314C8D" w14:textId="77777777" w:rsidR="009826EC" w:rsidRPr="009826EC" w:rsidRDefault="009826EC" w:rsidP="009826EC">
      <w:pPr>
        <w:jc w:val="both"/>
        <w:rPr>
          <w:rFonts w:ascii="Times New Roman" w:eastAsia="Times New Roman" w:hAnsi="Times New Roman" w:cs="Times New Roman"/>
          <w:color w:val="000000"/>
          <w:sz w:val="20"/>
          <w:szCs w:val="20"/>
        </w:rPr>
      </w:pPr>
      <w:r w:rsidRPr="009826EC">
        <w:rPr>
          <w:rFonts w:ascii="Times New Roman" w:eastAsia="Times New Roman" w:hAnsi="Times New Roman" w:cs="Times New Roman"/>
          <w:color w:val="000000"/>
          <w:sz w:val="20"/>
          <w:szCs w:val="20"/>
        </w:rPr>
        <w:lastRenderedPageBreak/>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6952B854" w14:textId="77777777" w:rsidR="009826EC" w:rsidRPr="009826EC" w:rsidRDefault="009826EC" w:rsidP="009826EC">
      <w:pPr>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In addition, searches and seizures also involve the right to privacy. Consequently, many cases involving the Fourth Amendment also raise claims of possible violation of the right to privacy. This is because searches and seizures often require entry into homes or residences or searches of personal belongings; hence, a person's privacy is inevitably involved. For example, suppose the police illegally enter a home to search for drugs without probable cause. In the process of the search, they enter the couple's bedroom, conduct an extensive search, and recover drugs and child pornography. During the trial, the evidence seized probably will be excluded based on violations of the Fourth Amendment and the right to privacy.</w:t>
      </w:r>
    </w:p>
    <w:p w14:paraId="25765911" w14:textId="77777777" w:rsidR="009826EC" w:rsidRPr="009826EC" w:rsidRDefault="009826EC" w:rsidP="009826EC">
      <w:pPr>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The law on searches and seizures of things is understood best if two basic concepts are clear:</w:t>
      </w:r>
    </w:p>
    <w:p w14:paraId="48439FE4" w14:textId="77777777" w:rsidR="009826EC" w:rsidRPr="009826EC" w:rsidRDefault="009826EC" w:rsidP="009826EC">
      <w:pPr>
        <w:jc w:val="both"/>
        <w:rPr>
          <w:rFonts w:ascii="Times New Roman" w:eastAsia="Times New Roman" w:hAnsi="Times New Roman" w:cs="Times New Roman"/>
          <w:color w:val="000000"/>
        </w:rPr>
      </w:pPr>
      <w:r w:rsidRPr="009826EC">
        <w:rPr>
          <w:rFonts w:ascii="Times New Roman" w:eastAsia="Times New Roman" w:hAnsi="Times New Roman" w:cs="Times New Roman"/>
          <w:b/>
          <w:bCs/>
          <w:color w:val="000000"/>
        </w:rPr>
        <w:t>1.</w:t>
      </w:r>
      <w:r w:rsidRPr="009826EC">
        <w:rPr>
          <w:rFonts w:ascii="Times New Roman" w:eastAsia="Times New Roman" w:hAnsi="Times New Roman" w:cs="Times New Roman"/>
          <w:color w:val="000000"/>
        </w:rPr>
        <w:t xml:space="preserve">There are two types of </w:t>
      </w:r>
      <w:proofErr w:type="gramStart"/>
      <w:r w:rsidRPr="009826EC">
        <w:rPr>
          <w:rFonts w:ascii="Times New Roman" w:eastAsia="Times New Roman" w:hAnsi="Times New Roman" w:cs="Times New Roman"/>
          <w:color w:val="000000"/>
        </w:rPr>
        <w:t>search</w:t>
      </w:r>
      <w:proofErr w:type="gramEnd"/>
      <w:r w:rsidRPr="009826EC">
        <w:rPr>
          <w:rFonts w:ascii="Times New Roman" w:eastAsia="Times New Roman" w:hAnsi="Times New Roman" w:cs="Times New Roman"/>
          <w:color w:val="000000"/>
        </w:rPr>
        <w:t xml:space="preserve"> and seizure: without a warrant and with a warrant. Each is governed by its own rules and are discussed separately in this chapter.</w:t>
      </w:r>
    </w:p>
    <w:p w14:paraId="6559C8F0" w14:textId="1B8B14DA" w:rsidR="009826EC" w:rsidRDefault="009826EC" w:rsidP="009826EC">
      <w:pPr>
        <w:jc w:val="both"/>
        <w:rPr>
          <w:rFonts w:ascii="Times New Roman" w:eastAsia="Times New Roman" w:hAnsi="Times New Roman" w:cs="Times New Roman"/>
          <w:i/>
          <w:iCs/>
          <w:color w:val="000000"/>
        </w:rPr>
      </w:pPr>
      <w:r w:rsidRPr="009826EC">
        <w:rPr>
          <w:rFonts w:ascii="Times New Roman" w:eastAsia="Times New Roman" w:hAnsi="Times New Roman" w:cs="Times New Roman"/>
          <w:b/>
          <w:bCs/>
          <w:color w:val="000000"/>
        </w:rPr>
        <w:t>2.</w:t>
      </w:r>
      <w:r w:rsidRPr="009826EC">
        <w:rPr>
          <w:rFonts w:ascii="Times New Roman" w:eastAsia="Times New Roman" w:hAnsi="Times New Roman" w:cs="Times New Roman"/>
          <w:color w:val="000000"/>
        </w:rPr>
        <w:t>The term </w:t>
      </w:r>
      <w:r w:rsidRPr="009826EC">
        <w:rPr>
          <w:rFonts w:ascii="Times New Roman" w:eastAsia="Times New Roman" w:hAnsi="Times New Roman" w:cs="Times New Roman"/>
          <w:i/>
          <w:iCs/>
          <w:color w:val="000000"/>
        </w:rPr>
        <w:t>search and seizure</w:t>
      </w:r>
      <w:r w:rsidRPr="009826EC">
        <w:rPr>
          <w:rFonts w:ascii="Times New Roman" w:eastAsia="Times New Roman" w:hAnsi="Times New Roman" w:cs="Times New Roman"/>
          <w:color w:val="000000"/>
        </w:rPr>
        <w:t> </w:t>
      </w:r>
      <w:proofErr w:type="gramStart"/>
      <w:r w:rsidRPr="009826EC">
        <w:rPr>
          <w:rFonts w:ascii="Times New Roman" w:eastAsia="Times New Roman" w:hAnsi="Times New Roman" w:cs="Times New Roman"/>
          <w:color w:val="000000"/>
        </w:rPr>
        <w:t>is</w:t>
      </w:r>
      <w:proofErr w:type="gramEnd"/>
      <w:r w:rsidRPr="009826EC">
        <w:rPr>
          <w:rFonts w:ascii="Times New Roman" w:eastAsia="Times New Roman" w:hAnsi="Times New Roman" w:cs="Times New Roman"/>
          <w:color w:val="000000"/>
        </w:rPr>
        <w:t xml:space="preserve"> often misunderstood as a single and continuous act. It is, in fact, two separate acts, each with its own meaning. Both are under the Fourth Amendment and subject to the probable cause requirement. After defining them, however, the discussion in this chapter considers search and seizure together because Fourth Amendment cases do not make clear distinctions between the two acts. Moreover, one usually follows the other or is often the result of the other. This means that a </w:t>
      </w:r>
      <w:r w:rsidRPr="009826EC">
        <w:rPr>
          <w:rFonts w:ascii="Times New Roman" w:eastAsia="Times New Roman" w:hAnsi="Times New Roman" w:cs="Times New Roman"/>
          <w:i/>
          <w:iCs/>
          <w:color w:val="000000"/>
        </w:rPr>
        <w:t>search can result in a seizure, and seizure is often the result of a search.</w:t>
      </w:r>
    </w:p>
    <w:p w14:paraId="7FC59370" w14:textId="77777777" w:rsidR="009826EC" w:rsidRDefault="00872E7F" w:rsidP="009826EC">
      <w:pPr>
        <w:pStyle w:val="Heading2"/>
        <w:shd w:val="clear" w:color="auto" w:fill="EDEEEE"/>
        <w:spacing w:before="240" w:beforeAutospacing="0" w:after="120" w:afterAutospacing="0"/>
        <w:rPr>
          <w:color w:val="000000"/>
          <w:sz w:val="31"/>
          <w:szCs w:val="31"/>
        </w:rPr>
      </w:pPr>
      <w:hyperlink r:id="rId69" w:anchor="toc-ch7-2" w:history="1">
        <w:r w:rsidR="009826EC">
          <w:rPr>
            <w:rStyle w:val="Hyperlink"/>
            <w:color w:val="000000"/>
            <w:sz w:val="31"/>
            <w:szCs w:val="31"/>
            <w:u w:val="none"/>
          </w:rPr>
          <w:t>THE RIGHT TO PRIVACY IS A CONSTITUTIONAL RIGHT</w:t>
        </w:r>
      </w:hyperlink>
    </w:p>
    <w:p w14:paraId="59B62B3E" w14:textId="77777777" w:rsidR="009826EC" w:rsidRDefault="009826EC" w:rsidP="009826EC">
      <w:pPr>
        <w:pStyle w:val="noindent"/>
        <w:spacing w:before="0" w:beforeAutospacing="0" w:after="0" w:afterAutospacing="0"/>
        <w:jc w:val="both"/>
        <w:rPr>
          <w:color w:val="000000"/>
        </w:rPr>
      </w:pPr>
      <w:r>
        <w:rPr>
          <w:color w:val="000000"/>
        </w:rPr>
        <w:t>The</w:t>
      </w:r>
      <w:r>
        <w:rPr>
          <w:rStyle w:val="apple-converted-space"/>
          <w:color w:val="000000"/>
        </w:rPr>
        <w:t> </w:t>
      </w:r>
      <w:hyperlink r:id="rId70" w:anchor="kt7-1" w:history="1">
        <w:r>
          <w:rPr>
            <w:rStyle w:val="Hyperlink"/>
            <w:b/>
            <w:bCs/>
            <w:color w:val="000000"/>
            <w:u w:val="none"/>
          </w:rPr>
          <w:t>right to privacy</w:t>
        </w:r>
      </w:hyperlink>
      <w:r>
        <w:rPr>
          <w:rStyle w:val="apple-converted-space"/>
          <w:color w:val="000000"/>
        </w:rPr>
        <w:t> </w:t>
      </w:r>
      <w:r>
        <w:rPr>
          <w:color w:val="000000"/>
        </w:rPr>
        <w:t>is a constitutional right but is not specifically mentioned in the Constitution—unlike the prohibition against unreasonable searches and seizures, which is specified in the Fourth Amendment. Instead, it is a</w:t>
      </w:r>
      <w:r>
        <w:rPr>
          <w:rStyle w:val="apple-converted-space"/>
          <w:color w:val="000000"/>
        </w:rPr>
        <w:t> </w:t>
      </w:r>
      <w:r>
        <w:rPr>
          <w:rStyle w:val="Emphasis"/>
          <w:color w:val="000000"/>
        </w:rPr>
        <w:t>penumbra</w:t>
      </w:r>
      <w:r>
        <w:rPr>
          <w:rStyle w:val="apple-converted-space"/>
          <w:color w:val="000000"/>
        </w:rPr>
        <w:t> </w:t>
      </w:r>
      <w:r>
        <w:rPr>
          <w:color w:val="000000"/>
        </w:rPr>
        <w:t>(shadow) right that is derived from other rights specifically mentioned in the Constitution, including the Fourth Amendment.</w:t>
      </w:r>
    </w:p>
    <w:p w14:paraId="3CA5D798" w14:textId="77777777" w:rsidR="009826EC" w:rsidRDefault="009826EC" w:rsidP="009826EC">
      <w:pPr>
        <w:pStyle w:val="key"/>
        <w:shd w:val="clear" w:color="auto" w:fill="E7E7E8"/>
        <w:spacing w:before="48" w:beforeAutospacing="0" w:after="0" w:afterAutospacing="0"/>
        <w:jc w:val="both"/>
        <w:rPr>
          <w:color w:val="000000"/>
        </w:rPr>
      </w:pPr>
      <w:r>
        <w:rPr>
          <w:b/>
          <w:bCs/>
          <w:color w:val="000000"/>
        </w:rPr>
        <w:t>right to privacy</w:t>
      </w:r>
      <w:r>
        <w:rPr>
          <w:color w:val="000000"/>
        </w:rPr>
        <w:br/>
        <w:t>the right to be let alone.</w:t>
      </w:r>
    </w:p>
    <w:p w14:paraId="414CB58A" w14:textId="77777777" w:rsidR="009826EC" w:rsidRDefault="009826EC" w:rsidP="009826EC">
      <w:pPr>
        <w:pStyle w:val="indent"/>
        <w:spacing w:before="0" w:beforeAutospacing="0" w:after="0" w:afterAutospacing="0"/>
        <w:ind w:firstLine="360"/>
        <w:jc w:val="both"/>
        <w:rPr>
          <w:color w:val="000000"/>
        </w:rPr>
      </w:pPr>
      <w:r>
        <w:rPr>
          <w:color w:val="000000"/>
        </w:rPr>
        <w:t xml:space="preserve">The right to privacy and the right against unreasonable searches and seizures under the Fourth Amendment interface on many occasions because </w:t>
      </w:r>
      <w:proofErr w:type="gramStart"/>
      <w:r>
        <w:rPr>
          <w:color w:val="000000"/>
        </w:rPr>
        <w:t>both of them</w:t>
      </w:r>
      <w:proofErr w:type="gramEnd"/>
      <w:r>
        <w:rPr>
          <w:color w:val="000000"/>
        </w:rPr>
        <w:t xml:space="preserve"> prohibit government intrusion into basic individual rights. Arguably, however, the right to privacy is broader than the right against unreasonable searches and seizures because it protects the individual against certain forms of intrusion that do not constitute searches or seizures. For example, the right to privacy has been invoked to prohibit the government from regulating abortion during the early stage of pregnancy </w:t>
      </w:r>
      <w:proofErr w:type="gramStart"/>
      <w:r>
        <w:rPr>
          <w:color w:val="000000"/>
        </w:rPr>
        <w:t>and also</w:t>
      </w:r>
      <w:proofErr w:type="gramEnd"/>
      <w:r>
        <w:rPr>
          <w:color w:val="000000"/>
        </w:rPr>
        <w:t xml:space="preserve"> forbids the government from criminalizing what people do in the privacy of their own homes, such as sexual acts between consenting adults.</w:t>
      </w:r>
    </w:p>
    <w:p w14:paraId="36DD4860" w14:textId="77777777" w:rsidR="009826EC" w:rsidRDefault="009826EC" w:rsidP="009826EC">
      <w:pPr>
        <w:pStyle w:val="indent"/>
        <w:spacing w:before="0" w:beforeAutospacing="0" w:after="0" w:afterAutospacing="0"/>
        <w:ind w:firstLine="360"/>
        <w:jc w:val="both"/>
        <w:rPr>
          <w:color w:val="000000"/>
        </w:rPr>
      </w:pPr>
      <w:r>
        <w:rPr>
          <w:color w:val="000000"/>
        </w:rPr>
        <w:t>In a 1965 decision, the Court said that “specific guarantees in the Bill of Rights have penumbras, formed by emanations from those guarantees that help give them life and substance” (</w:t>
      </w:r>
      <w:r>
        <w:rPr>
          <w:rStyle w:val="Emphasis"/>
          <w:color w:val="000000"/>
        </w:rPr>
        <w:t>Griswold v. Connecticut</w:t>
      </w:r>
      <w:r>
        <w:rPr>
          <w:color w:val="000000"/>
        </w:rPr>
        <w:t>, 381 U.S. 479 [1965]). The Court added that “various guarantees create zones of privacy.” These are the First Amendment freedom of association; the Third Amendment prohibition against the quartering of soldiers “in any house”; the Fourth Amendment affirmation of the “right of the</w:t>
      </w:r>
      <w:r>
        <w:rPr>
          <w:rStyle w:val="apple-converted-space"/>
          <w:color w:val="000000"/>
        </w:rPr>
        <w:t> </w:t>
      </w:r>
      <w:r>
        <w:rPr>
          <w:color w:val="000000"/>
        </w:rPr>
        <w:t xml:space="preserve">people to be secure in their persons, houses, papers, and effects, against unreasonable searches and seizures”; the Fifth Amendment prohibition against self-incrimination; and the Ninth Amendment provision that the “enumeration in the Constitution, of certain rights, </w:t>
      </w:r>
      <w:r>
        <w:rPr>
          <w:color w:val="000000"/>
        </w:rPr>
        <w:lastRenderedPageBreak/>
        <w:t>shall not be construed to deny or disparage others retained by the people.” Since 1965, the right to privacy has been recognized as a constitutional right by the Court.</w:t>
      </w:r>
    </w:p>
    <w:p w14:paraId="622E4B29" w14:textId="77777777" w:rsidR="009826EC" w:rsidRDefault="009826EC" w:rsidP="009826EC">
      <w:pPr>
        <w:pStyle w:val="noindent"/>
        <w:spacing w:before="0" w:beforeAutospacing="0" w:after="0" w:afterAutospacing="0"/>
        <w:jc w:val="both"/>
        <w:rPr>
          <w:color w:val="000000"/>
          <w:sz w:val="20"/>
          <w:szCs w:val="20"/>
        </w:rPr>
      </w:pPr>
      <w:r>
        <w:rPr>
          <w:rStyle w:val="Emphasis"/>
          <w:color w:val="000000"/>
          <w:sz w:val="20"/>
          <w:szCs w:val="20"/>
        </w:rPr>
        <w:t>Griswold v. Connecticut</w:t>
      </w:r>
      <w:r>
        <w:rPr>
          <w:rStyle w:val="apple-converted-space"/>
          <w:color w:val="000000"/>
          <w:sz w:val="20"/>
          <w:szCs w:val="20"/>
        </w:rPr>
        <w:t> </w:t>
      </w:r>
      <w:r>
        <w:rPr>
          <w:color w:val="000000"/>
          <w:sz w:val="20"/>
          <w:szCs w:val="20"/>
        </w:rPr>
        <w:t>(1965)</w:t>
      </w:r>
    </w:p>
    <w:p w14:paraId="25065E41" w14:textId="77777777" w:rsidR="009826EC" w:rsidRDefault="009826EC" w:rsidP="009826EC">
      <w:pPr>
        <w:pStyle w:val="noindent"/>
        <w:shd w:val="clear" w:color="auto" w:fill="000000"/>
        <w:spacing w:before="0" w:beforeAutospacing="0" w:after="0" w:afterAutospacing="0"/>
        <w:ind w:left="-120" w:right="-120"/>
        <w:jc w:val="both"/>
        <w:rPr>
          <w:color w:val="FFFFFF"/>
          <w:sz w:val="20"/>
          <w:szCs w:val="20"/>
        </w:rPr>
      </w:pPr>
      <w:r>
        <w:rPr>
          <w:b/>
          <w:bCs/>
          <w:color w:val="FFFFFF"/>
          <w:sz w:val="20"/>
          <w:szCs w:val="20"/>
        </w:rPr>
        <w:t>MYTH vs. REALITY</w:t>
      </w:r>
    </w:p>
    <w:p w14:paraId="005AAED8" w14:textId="77777777" w:rsidR="009826EC" w:rsidRDefault="009826EC" w:rsidP="009826EC">
      <w:pPr>
        <w:pStyle w:val="noindent1"/>
        <w:shd w:val="clear" w:color="auto" w:fill="E8E9EA"/>
        <w:spacing w:before="240" w:beforeAutospacing="0" w:after="48" w:afterAutospacing="0"/>
        <w:jc w:val="both"/>
        <w:rPr>
          <w:color w:val="000000"/>
          <w:sz w:val="20"/>
          <w:szCs w:val="20"/>
        </w:rPr>
      </w:pPr>
      <w:r>
        <w:rPr>
          <w:b/>
          <w:bCs/>
          <w:color w:val="FFFFFF"/>
          <w:sz w:val="20"/>
          <w:szCs w:val="20"/>
          <w:shd w:val="clear" w:color="auto" w:fill="818285"/>
        </w:rPr>
        <w:t>MYTH</w:t>
      </w:r>
      <w:r>
        <w:rPr>
          <w:rStyle w:val="apple-converted-space"/>
          <w:color w:val="000000"/>
          <w:sz w:val="20"/>
          <w:szCs w:val="20"/>
        </w:rPr>
        <w:t> </w:t>
      </w:r>
      <w:r>
        <w:rPr>
          <w:b/>
          <w:bCs/>
          <w:color w:val="000000"/>
          <w:sz w:val="20"/>
          <w:szCs w:val="20"/>
        </w:rPr>
        <w:t>There is no constitutional right to privacy because privacy is never mentioned in the Constitution.</w:t>
      </w:r>
    </w:p>
    <w:p w14:paraId="31F25608" w14:textId="77777777" w:rsidR="009826EC" w:rsidRDefault="009826EC" w:rsidP="009826EC">
      <w:pPr>
        <w:pStyle w:val="noindent1"/>
        <w:shd w:val="clear" w:color="auto" w:fill="E8E9EA"/>
        <w:spacing w:before="240" w:beforeAutospacing="0" w:after="48" w:afterAutospacing="0"/>
        <w:jc w:val="both"/>
        <w:rPr>
          <w:color w:val="000000"/>
          <w:sz w:val="20"/>
          <w:szCs w:val="20"/>
        </w:rPr>
      </w:pPr>
      <w:r>
        <w:rPr>
          <w:b/>
          <w:bCs/>
          <w:color w:val="FFFFFF"/>
          <w:sz w:val="20"/>
          <w:szCs w:val="20"/>
          <w:shd w:val="clear" w:color="auto" w:fill="818285"/>
        </w:rPr>
        <w:t>FACT</w:t>
      </w:r>
      <w:r>
        <w:rPr>
          <w:rStyle w:val="apple-converted-space"/>
          <w:color w:val="000000"/>
          <w:sz w:val="20"/>
          <w:szCs w:val="20"/>
        </w:rPr>
        <w:t> </w:t>
      </w:r>
      <w:r>
        <w:rPr>
          <w:color w:val="000000"/>
          <w:sz w:val="20"/>
          <w:szCs w:val="20"/>
        </w:rPr>
        <w:t>The Supreme has repeatedly held that there exists a right to privacy, even though it is not specifically mentioned in the Constitution, based on the general purpose of the Bill of Rights.</w:t>
      </w:r>
    </w:p>
    <w:p w14:paraId="38DB4846" w14:textId="77777777" w:rsidR="009826EC" w:rsidRDefault="009826EC" w:rsidP="009826EC">
      <w:pPr>
        <w:pStyle w:val="indent"/>
        <w:spacing w:before="0" w:beforeAutospacing="0" w:after="0" w:afterAutospacing="0"/>
        <w:ind w:firstLine="360"/>
        <w:jc w:val="both"/>
        <w:rPr>
          <w:color w:val="000000"/>
        </w:rPr>
      </w:pPr>
      <w:r>
        <w:rPr>
          <w:color w:val="000000"/>
        </w:rPr>
        <w:t>Despite not being mentioned in the Bill or Rights or the Constitution, the right to privacy is now well established by Court decisions and is one of the most asserted rights. It will continue to be an often-invoked right whose outer limits are yet to be determined by the courts in forthcoming years in a cyberspace age. The protection afforded by the Court to the right to privacy is reflected in these words from the Court's decision in</w:t>
      </w:r>
      <w:r>
        <w:rPr>
          <w:rStyle w:val="apple-converted-space"/>
          <w:color w:val="000000"/>
        </w:rPr>
        <w:t> </w:t>
      </w:r>
      <w:r>
        <w:rPr>
          <w:rStyle w:val="Emphasis"/>
          <w:color w:val="000000"/>
        </w:rPr>
        <w:t>Griswold:</w:t>
      </w:r>
      <w:r>
        <w:rPr>
          <w:rStyle w:val="apple-converted-space"/>
          <w:color w:val="000000"/>
        </w:rPr>
        <w:t> </w:t>
      </w:r>
      <w:r>
        <w:rPr>
          <w:color w:val="000000"/>
        </w:rPr>
        <w:t>“We deal with a right of privacy older than the Bill of Rights—older than our political parties, older than our school system.” It is a basic and fundamental right. The more popular meaning of the right to privacy is “the right to be let alone by other people” (</w:t>
      </w:r>
      <w:r>
        <w:rPr>
          <w:rStyle w:val="Emphasis"/>
          <w:color w:val="000000"/>
        </w:rPr>
        <w:t>Katz v. United States</w:t>
      </w:r>
      <w:r>
        <w:rPr>
          <w:color w:val="000000"/>
        </w:rPr>
        <w:t>, 389 U.S. 347 [1967]). This includes being “let alone” by the government and law enforcement agents.</w:t>
      </w:r>
    </w:p>
    <w:p w14:paraId="41AB9EED" w14:textId="4F7085B6" w:rsidR="009826EC" w:rsidRDefault="009826EC" w:rsidP="009826EC">
      <w:pPr>
        <w:jc w:val="both"/>
        <w:rPr>
          <w:rFonts w:ascii="Times New Roman" w:eastAsia="Times New Roman" w:hAnsi="Times New Roman" w:cs="Times New Roman"/>
          <w:color w:val="000000"/>
        </w:rPr>
      </w:pPr>
    </w:p>
    <w:p w14:paraId="6BBCB425" w14:textId="77777777" w:rsidR="009826EC" w:rsidRDefault="00872E7F" w:rsidP="009826EC">
      <w:pPr>
        <w:pStyle w:val="Heading2"/>
        <w:shd w:val="clear" w:color="auto" w:fill="EDEEEE"/>
        <w:spacing w:before="240" w:beforeAutospacing="0" w:after="120" w:afterAutospacing="0"/>
        <w:rPr>
          <w:color w:val="000000"/>
          <w:sz w:val="31"/>
          <w:szCs w:val="31"/>
        </w:rPr>
      </w:pPr>
      <w:hyperlink r:id="rId71" w:anchor="toc-ch7-3" w:history="1">
        <w:r w:rsidR="009826EC">
          <w:rPr>
            <w:rStyle w:val="Hyperlink"/>
            <w:color w:val="000000"/>
            <w:sz w:val="31"/>
            <w:szCs w:val="31"/>
            <w:u w:val="none"/>
          </w:rPr>
          <w:t>“REASONABLE EXPECTATION OF PRIVACY” DEFINED</w:t>
        </w:r>
      </w:hyperlink>
    </w:p>
    <w:p w14:paraId="4157D74B" w14:textId="77777777" w:rsidR="009826EC" w:rsidRDefault="009826EC" w:rsidP="009826EC">
      <w:pPr>
        <w:pStyle w:val="noindent"/>
        <w:spacing w:before="0" w:beforeAutospacing="0" w:after="0" w:afterAutospacing="0"/>
        <w:jc w:val="both"/>
        <w:rPr>
          <w:color w:val="000000"/>
        </w:rPr>
      </w:pPr>
      <w:r>
        <w:rPr>
          <w:rStyle w:val="Emphasis"/>
          <w:color w:val="000000"/>
        </w:rPr>
        <w:t>Privacy</w:t>
      </w:r>
      <w:r>
        <w:rPr>
          <w:rStyle w:val="apple-converted-space"/>
          <w:color w:val="000000"/>
        </w:rPr>
        <w:t> </w:t>
      </w:r>
      <w:r>
        <w:rPr>
          <w:color w:val="000000"/>
        </w:rPr>
        <w:t xml:space="preserve">is a broad term that encompasses a myriad of situations. The question is, </w:t>
      </w:r>
      <w:proofErr w:type="gramStart"/>
      <w:r>
        <w:rPr>
          <w:color w:val="000000"/>
        </w:rPr>
        <w:t>When</w:t>
      </w:r>
      <w:proofErr w:type="gramEnd"/>
      <w:r>
        <w:rPr>
          <w:color w:val="000000"/>
        </w:rPr>
        <w:t xml:space="preserve"> does privacy enjoy constitutional protection and when does it not? The Court's response: Privacy enjoys constitutional protection when there is a</w:t>
      </w:r>
      <w:r>
        <w:rPr>
          <w:rStyle w:val="apple-converted-space"/>
          <w:color w:val="000000"/>
        </w:rPr>
        <w:t> </w:t>
      </w:r>
      <w:r>
        <w:rPr>
          <w:rStyle w:val="Emphasis"/>
          <w:color w:val="000000"/>
        </w:rPr>
        <w:t>reasonable expectation of privacy.</w:t>
      </w:r>
      <w:r>
        <w:rPr>
          <w:rStyle w:val="apple-converted-space"/>
          <w:color w:val="000000"/>
        </w:rPr>
        <w:t> </w:t>
      </w:r>
      <w:r>
        <w:rPr>
          <w:color w:val="000000"/>
        </w:rPr>
        <w:t>In a concurring opinion in</w:t>
      </w:r>
      <w:r>
        <w:rPr>
          <w:rStyle w:val="apple-converted-space"/>
          <w:color w:val="000000"/>
        </w:rPr>
        <w:t> </w:t>
      </w:r>
      <w:r>
        <w:rPr>
          <w:rStyle w:val="Emphasis"/>
          <w:color w:val="000000"/>
        </w:rPr>
        <w:t>Katz v. United States</w:t>
      </w:r>
      <w:r>
        <w:rPr>
          <w:color w:val="000000"/>
        </w:rPr>
        <w:t>, 389 U.S. 347 (1967), Justice Harlan specified two requirements for a</w:t>
      </w:r>
      <w:r>
        <w:rPr>
          <w:rStyle w:val="apple-converted-space"/>
          <w:color w:val="000000"/>
        </w:rPr>
        <w:t> </w:t>
      </w:r>
      <w:hyperlink r:id="rId72" w:anchor="kt7-2" w:history="1">
        <w:r>
          <w:rPr>
            <w:rStyle w:val="Hyperlink"/>
            <w:b/>
            <w:bCs/>
            <w:color w:val="000000"/>
            <w:u w:val="none"/>
          </w:rPr>
          <w:t>reasonable expectation of privacy</w:t>
        </w:r>
      </w:hyperlink>
      <w:r>
        <w:rPr>
          <w:rStyle w:val="apple-converted-space"/>
          <w:color w:val="000000"/>
        </w:rPr>
        <w:t> </w:t>
      </w:r>
      <w:r>
        <w:rPr>
          <w:color w:val="000000"/>
        </w:rPr>
        <w:t>to exist: (1) the person must have exhibited an actual expectation of privacy, and (2) the expectation must be one that society is prepared to recognize as reasonable. These are the same requirements used by courts in today's decisions. Justice Harlan added:</w:t>
      </w:r>
    </w:p>
    <w:p w14:paraId="61EB28CB" w14:textId="77777777" w:rsidR="009826EC" w:rsidRDefault="009826EC" w:rsidP="009826EC">
      <w:pPr>
        <w:pStyle w:val="key"/>
        <w:shd w:val="clear" w:color="auto" w:fill="E7E7E8"/>
        <w:spacing w:before="48" w:beforeAutospacing="0" w:after="0" w:afterAutospacing="0"/>
        <w:jc w:val="both"/>
        <w:rPr>
          <w:color w:val="000000"/>
        </w:rPr>
      </w:pPr>
      <w:r>
        <w:rPr>
          <w:b/>
          <w:bCs/>
          <w:color w:val="000000"/>
        </w:rPr>
        <w:t>reasonable expectation of privacy</w:t>
      </w:r>
      <w:r>
        <w:rPr>
          <w:color w:val="000000"/>
        </w:rPr>
        <w:br/>
        <w:t>exists when a person exhibits an actual expectation of privacy, and the expectation is one that society is prepared to recognize as reasonable.</w:t>
      </w:r>
    </w:p>
    <w:p w14:paraId="1588D7B4" w14:textId="77777777" w:rsidR="009826EC" w:rsidRDefault="009826EC" w:rsidP="009826EC">
      <w:pPr>
        <w:pStyle w:val="noindent"/>
        <w:spacing w:before="0" w:beforeAutospacing="0" w:after="0" w:afterAutospacing="0"/>
        <w:jc w:val="both"/>
        <w:rPr>
          <w:color w:val="000000"/>
          <w:sz w:val="22"/>
          <w:szCs w:val="22"/>
        </w:rPr>
      </w:pPr>
      <w:proofErr w:type="gramStart"/>
      <w:r>
        <w:rPr>
          <w:color w:val="000000"/>
          <w:sz w:val="22"/>
          <w:szCs w:val="22"/>
        </w:rPr>
        <w:t>Thus</w:t>
      </w:r>
      <w:proofErr w:type="gramEnd"/>
      <w:r>
        <w:rPr>
          <w:color w:val="000000"/>
          <w:sz w:val="22"/>
          <w:szCs w:val="22"/>
        </w:rPr>
        <w:t xml:space="preserve"> a man's home is, for most purposes, a place where he expects privacy, but objects, activities, or statements that he exposes to the “plain view” of outsiders are not “protected” because no intention to keep them to himself has been exhibited. On the other hand, conversations in the open would not be protected against being overheard, for the expectation of privacy under the circumstances would be unreasonable.</w:t>
      </w:r>
    </w:p>
    <w:p w14:paraId="3DC7D3B5" w14:textId="77777777" w:rsidR="009826EC" w:rsidRDefault="009826EC" w:rsidP="009826EC">
      <w:pPr>
        <w:pStyle w:val="noindent"/>
        <w:spacing w:before="0" w:beforeAutospacing="0" w:after="0" w:afterAutospacing="0"/>
        <w:jc w:val="both"/>
        <w:rPr>
          <w:color w:val="000000"/>
        </w:rPr>
      </w:pPr>
      <w:r>
        <w:rPr>
          <w:color w:val="000000"/>
        </w:rPr>
        <w:t>To use a more current example, does a person who talks on a cell phone in a public place have a reasonable expectation of privacy? Applying the two tests, a person who talks on a cell phone loudly and in public does not exhibit an actual expectation of privacy and, even if she does, society probably is not prepared to recognize this expectation as reasonable. By contrast, couples who are in bed in their own home have a reasonable expectation of privacy, which society is prepared to accept as reasonable. What society is prepared to recognize as reasonable evolves over time, particularly as technology, social practices, and morals change. Ultimately, the phrase</w:t>
      </w:r>
      <w:r>
        <w:rPr>
          <w:rStyle w:val="apple-converted-space"/>
          <w:color w:val="000000"/>
        </w:rPr>
        <w:t> </w:t>
      </w:r>
      <w:r>
        <w:rPr>
          <w:rStyle w:val="Emphasis"/>
          <w:color w:val="000000"/>
        </w:rPr>
        <w:t>reasonable expectation of privacy</w:t>
      </w:r>
      <w:r>
        <w:rPr>
          <w:rStyle w:val="apple-converted-space"/>
          <w:color w:val="000000"/>
        </w:rPr>
        <w:t> </w:t>
      </w:r>
      <w:r>
        <w:rPr>
          <w:color w:val="000000"/>
        </w:rPr>
        <w:t>is a question of fact that is determined in an actual case by a judge or jury, based on surrounding circumstances. It is therefore subjective.</w:t>
      </w:r>
    </w:p>
    <w:p w14:paraId="36118CE3" w14:textId="77777777" w:rsidR="009826EC" w:rsidRDefault="00872E7F" w:rsidP="009826EC">
      <w:pPr>
        <w:pStyle w:val="Heading2"/>
        <w:shd w:val="clear" w:color="auto" w:fill="EDEEEE"/>
        <w:spacing w:before="240" w:beforeAutospacing="0" w:after="120" w:afterAutospacing="0"/>
        <w:rPr>
          <w:color w:val="000000"/>
          <w:sz w:val="31"/>
          <w:szCs w:val="31"/>
        </w:rPr>
      </w:pPr>
      <w:hyperlink r:id="rId73" w:anchor="toc-ch7-4" w:history="1">
        <w:r w:rsidR="009826EC">
          <w:rPr>
            <w:rStyle w:val="Hyperlink"/>
            <w:color w:val="000000"/>
            <w:sz w:val="31"/>
            <w:szCs w:val="31"/>
            <w:u w:val="none"/>
          </w:rPr>
          <w:t>SEARCH DEFINED</w:t>
        </w:r>
      </w:hyperlink>
    </w:p>
    <w:p w14:paraId="5A56BAE7" w14:textId="77777777" w:rsidR="009826EC" w:rsidRDefault="009826EC" w:rsidP="009826EC">
      <w:pPr>
        <w:pStyle w:val="noindent"/>
        <w:spacing w:before="0" w:beforeAutospacing="0" w:after="0" w:afterAutospacing="0"/>
        <w:jc w:val="both"/>
        <w:rPr>
          <w:color w:val="000000"/>
        </w:rPr>
      </w:pPr>
      <w:r>
        <w:rPr>
          <w:color w:val="000000"/>
        </w:rPr>
        <w:lastRenderedPageBreak/>
        <w:t>A</w:t>
      </w:r>
      <w:r>
        <w:rPr>
          <w:rStyle w:val="apple-converted-space"/>
          <w:color w:val="000000"/>
        </w:rPr>
        <w:t> </w:t>
      </w:r>
      <w:hyperlink r:id="rId74" w:anchor="kt7-3" w:history="1">
        <w:r>
          <w:rPr>
            <w:rStyle w:val="Hyperlink"/>
            <w:b/>
            <w:bCs/>
            <w:color w:val="000000"/>
            <w:u w:val="none"/>
          </w:rPr>
          <w:t>search</w:t>
        </w:r>
      </w:hyperlink>
      <w:r>
        <w:rPr>
          <w:rStyle w:val="apple-converted-space"/>
          <w:color w:val="000000"/>
        </w:rPr>
        <w:t> </w:t>
      </w:r>
      <w:r>
        <w:rPr>
          <w:color w:val="000000"/>
        </w:rPr>
        <w:t>of things is defined as the exploration or examination of an individual's house, premises, or person to discover things that may be used by the government for evidence in a criminal prosecution. A search is not limited to homes, offices, buildings, or other enclosed places; rather, it can occur in any place where a person has a reasonable expectation of privacy, even if the place is in a public area, meaning a place to which anyone has access (</w:t>
      </w:r>
      <w:r>
        <w:rPr>
          <w:rStyle w:val="Emphasis"/>
          <w:color w:val="000000"/>
        </w:rPr>
        <w:t>Katz v. United States</w:t>
      </w:r>
      <w:r>
        <w:rPr>
          <w:color w:val="000000"/>
        </w:rPr>
        <w:t>, 389 U.S. 347 [1967]). For example, in one case, police installed a peephole in the ceiling of a public restroom to observe what occurred in the stalls. Officers observed two people engaging in an illegal sexual act in one of the stalls. What the officers did without a warrant was illegal, because the two people involved had a reasonable expectation of privacy—they could reasonably expect that their acts would not be observed by others, even though they were in a public restroom. The evidence obtained was therefore not admissible in court.</w:t>
      </w:r>
    </w:p>
    <w:p w14:paraId="2AC6809E" w14:textId="77777777" w:rsidR="009826EC" w:rsidRPr="009826EC" w:rsidRDefault="009826EC" w:rsidP="009826EC">
      <w:pPr>
        <w:jc w:val="both"/>
        <w:rPr>
          <w:rFonts w:ascii="Times New Roman" w:eastAsia="Times New Roman" w:hAnsi="Times New Roman" w:cs="Times New Roman"/>
          <w:color w:val="000000"/>
        </w:rPr>
      </w:pPr>
    </w:p>
    <w:p w14:paraId="5608E569" w14:textId="77777777" w:rsidR="009826EC" w:rsidRDefault="009826EC" w:rsidP="009826EC">
      <w:pPr>
        <w:pStyle w:val="key"/>
        <w:shd w:val="clear" w:color="auto" w:fill="E7E7E8"/>
        <w:spacing w:before="48" w:beforeAutospacing="0" w:after="0" w:afterAutospacing="0"/>
        <w:jc w:val="both"/>
        <w:rPr>
          <w:color w:val="000000"/>
        </w:rPr>
      </w:pPr>
      <w:r>
        <w:rPr>
          <w:b/>
          <w:bCs/>
          <w:color w:val="000000"/>
        </w:rPr>
        <w:t>search</w:t>
      </w:r>
      <w:r>
        <w:rPr>
          <w:color w:val="000000"/>
        </w:rPr>
        <w:br/>
        <w:t>the exploration or examination of an individual's home, premises, or person to discover things or items that may be used by the government as evidence in a criminal proceeding.</w:t>
      </w:r>
    </w:p>
    <w:p w14:paraId="2E55C44A" w14:textId="77777777" w:rsidR="009826EC" w:rsidRDefault="00872E7F" w:rsidP="009826EC">
      <w:pPr>
        <w:pStyle w:val="Heading2"/>
        <w:shd w:val="clear" w:color="auto" w:fill="EDEEEE"/>
        <w:spacing w:before="240" w:beforeAutospacing="0" w:after="120" w:afterAutospacing="0"/>
        <w:rPr>
          <w:color w:val="000000"/>
          <w:sz w:val="31"/>
          <w:szCs w:val="31"/>
        </w:rPr>
      </w:pPr>
      <w:hyperlink r:id="rId75" w:anchor="toc-ch7-5" w:history="1">
        <w:r w:rsidR="009826EC">
          <w:rPr>
            <w:rStyle w:val="Hyperlink"/>
            <w:color w:val="000000"/>
            <w:sz w:val="31"/>
            <w:szCs w:val="31"/>
          </w:rPr>
          <w:t>SEIZURE DEFINED</w:t>
        </w:r>
      </w:hyperlink>
    </w:p>
    <w:p w14:paraId="2B5807E0" w14:textId="77777777" w:rsidR="009826EC" w:rsidRDefault="009826EC" w:rsidP="009826EC">
      <w:pPr>
        <w:pStyle w:val="noindent"/>
        <w:spacing w:before="0" w:beforeAutospacing="0" w:after="0" w:afterAutospacing="0"/>
        <w:jc w:val="both"/>
        <w:rPr>
          <w:color w:val="000000"/>
        </w:rPr>
      </w:pPr>
      <w:r>
        <w:rPr>
          <w:color w:val="000000"/>
        </w:rPr>
        <w:t>A</w:t>
      </w:r>
      <w:r>
        <w:rPr>
          <w:rStyle w:val="apple-converted-space"/>
          <w:color w:val="000000"/>
        </w:rPr>
        <w:t> </w:t>
      </w:r>
      <w:hyperlink r:id="rId76" w:anchor="kt7-4" w:history="1">
        <w:r>
          <w:rPr>
            <w:rStyle w:val="Hyperlink"/>
            <w:b/>
            <w:bCs/>
            <w:color w:val="000000"/>
          </w:rPr>
          <w:t>seizure</w:t>
        </w:r>
      </w:hyperlink>
      <w:r>
        <w:rPr>
          <w:rStyle w:val="apple-converted-space"/>
          <w:color w:val="000000"/>
        </w:rPr>
        <w:t> </w:t>
      </w:r>
      <w:r>
        <w:rPr>
          <w:color w:val="000000"/>
        </w:rPr>
        <w:t>of things or items is defined as the exercise of dominion or control by the government over a person or thing because of a violation of law. The distinction between a search and a seizure can be summarized as follows:</w:t>
      </w:r>
      <w:r>
        <w:rPr>
          <w:rStyle w:val="apple-converted-space"/>
          <w:color w:val="000000"/>
        </w:rPr>
        <w:t> </w:t>
      </w:r>
      <w:r>
        <w:rPr>
          <w:rStyle w:val="Emphasis"/>
          <w:color w:val="000000"/>
        </w:rPr>
        <w:t>Search is looking, whereas a seizure is taking.</w:t>
      </w:r>
      <w:r>
        <w:rPr>
          <w:rStyle w:val="apple-converted-space"/>
          <w:color w:val="000000"/>
        </w:rPr>
        <w:t> </w:t>
      </w:r>
      <w:r>
        <w:rPr>
          <w:color w:val="000000"/>
        </w:rPr>
        <w:t>In one case, the Supreme Court said that “a seizure occurs when there is some meaningful interference with an individual's possessory interests in the property seized” (</w:t>
      </w:r>
      <w:r>
        <w:rPr>
          <w:rStyle w:val="Emphasis"/>
          <w:color w:val="000000"/>
        </w:rPr>
        <w:t>Maryland v. Macon</w:t>
      </w:r>
      <w:r>
        <w:rPr>
          <w:color w:val="000000"/>
        </w:rPr>
        <w:t>, 472 U.S. 463 [1985]). If a search succeeds, it may lead to a seizure.</w:t>
      </w:r>
    </w:p>
    <w:p w14:paraId="6B32F0AB" w14:textId="77777777" w:rsidR="009826EC" w:rsidRDefault="009826EC" w:rsidP="009826EC">
      <w:pPr>
        <w:pStyle w:val="key"/>
        <w:shd w:val="clear" w:color="auto" w:fill="E7E7E8"/>
        <w:spacing w:before="48" w:beforeAutospacing="0" w:after="0" w:afterAutospacing="0"/>
        <w:jc w:val="both"/>
        <w:rPr>
          <w:color w:val="000000"/>
        </w:rPr>
      </w:pPr>
      <w:r>
        <w:rPr>
          <w:b/>
          <w:bCs/>
          <w:color w:val="000000"/>
        </w:rPr>
        <w:t>seizure</w:t>
      </w:r>
      <w:r>
        <w:rPr>
          <w:color w:val="000000"/>
        </w:rPr>
        <w:br/>
        <w:t>the exercise of dominion or control by the government over a person or thing because of a violation of law.</w:t>
      </w:r>
    </w:p>
    <w:p w14:paraId="1C47B73A" w14:textId="77777777" w:rsidR="009826EC" w:rsidRDefault="009826EC" w:rsidP="009826EC">
      <w:pPr>
        <w:pStyle w:val="noindent"/>
        <w:spacing w:before="0" w:beforeAutospacing="0" w:after="0" w:afterAutospacing="0"/>
        <w:jc w:val="both"/>
        <w:rPr>
          <w:color w:val="000000"/>
          <w:sz w:val="20"/>
          <w:szCs w:val="20"/>
        </w:rPr>
      </w:pPr>
      <w:r>
        <w:rPr>
          <w:rStyle w:val="Emphasis"/>
          <w:color w:val="000000"/>
          <w:sz w:val="20"/>
          <w:szCs w:val="20"/>
        </w:rPr>
        <w:t>Maryland v. Macon</w:t>
      </w:r>
      <w:r>
        <w:rPr>
          <w:rStyle w:val="apple-converted-space"/>
          <w:color w:val="000000"/>
          <w:sz w:val="20"/>
          <w:szCs w:val="20"/>
        </w:rPr>
        <w:t> </w:t>
      </w:r>
      <w:r>
        <w:rPr>
          <w:color w:val="000000"/>
          <w:sz w:val="20"/>
          <w:szCs w:val="20"/>
        </w:rPr>
        <w:t>(1985)</w:t>
      </w:r>
    </w:p>
    <w:p w14:paraId="064CDD27" w14:textId="77777777" w:rsidR="009826EC" w:rsidRDefault="00872E7F" w:rsidP="009826EC">
      <w:pPr>
        <w:pStyle w:val="Heading2"/>
        <w:shd w:val="clear" w:color="auto" w:fill="EDEEEE"/>
        <w:spacing w:before="240" w:beforeAutospacing="0" w:after="120" w:afterAutospacing="0"/>
        <w:rPr>
          <w:color w:val="000000"/>
          <w:sz w:val="31"/>
          <w:szCs w:val="31"/>
        </w:rPr>
      </w:pPr>
      <w:hyperlink r:id="rId77" w:anchor="toc-ch7-6" w:history="1">
        <w:r w:rsidR="009826EC">
          <w:rPr>
            <w:rStyle w:val="Hyperlink"/>
            <w:color w:val="000000"/>
            <w:sz w:val="31"/>
            <w:szCs w:val="31"/>
          </w:rPr>
          <w:t>SEARCHES AND SEIZURES: THE GENERAL RULE</w:t>
        </w:r>
      </w:hyperlink>
    </w:p>
    <w:p w14:paraId="4DCCD3AB" w14:textId="77777777" w:rsidR="009826EC" w:rsidRDefault="009826EC" w:rsidP="009826EC">
      <w:pPr>
        <w:pStyle w:val="noindent"/>
        <w:spacing w:before="0" w:beforeAutospacing="0" w:after="0" w:afterAutospacing="0"/>
        <w:jc w:val="both"/>
        <w:rPr>
          <w:color w:val="000000"/>
        </w:rPr>
      </w:pPr>
      <w:r>
        <w:rPr>
          <w:color w:val="000000"/>
        </w:rPr>
        <w:t>The general rule is that searches and seizures can be made only with a warrant. Therefore, warrantless searches and seizures are exceptions to the general rule. According to the Court, the most basic constitutional rule is that searches conducted outside the judicial process, without prior approval by a judge or a magistrate, are per se unreasonable under the Fourth Amendment—subject only to a few specifically established and well-delineated exceptions (</w:t>
      </w:r>
      <w:r>
        <w:rPr>
          <w:rStyle w:val="Emphasis"/>
          <w:color w:val="000000"/>
        </w:rPr>
        <w:t>Katz v. United States</w:t>
      </w:r>
      <w:r>
        <w:rPr>
          <w:color w:val="000000"/>
        </w:rPr>
        <w:t>, 389 U.S. 347 [1967]).</w:t>
      </w:r>
    </w:p>
    <w:p w14:paraId="45E1314B" w14:textId="77777777" w:rsidR="009826EC" w:rsidRDefault="009826EC" w:rsidP="009826EC">
      <w:pPr>
        <w:pStyle w:val="indent"/>
        <w:spacing w:before="0" w:beforeAutospacing="0" w:after="0" w:afterAutospacing="0"/>
        <w:ind w:firstLine="360"/>
        <w:jc w:val="both"/>
        <w:rPr>
          <w:color w:val="000000"/>
        </w:rPr>
      </w:pPr>
      <w:proofErr w:type="gramStart"/>
      <w:r>
        <w:rPr>
          <w:color w:val="000000"/>
        </w:rPr>
        <w:t>In reality, most</w:t>
      </w:r>
      <w:proofErr w:type="gramEnd"/>
      <w:r>
        <w:rPr>
          <w:color w:val="000000"/>
        </w:rPr>
        <w:t xml:space="preserve"> searches and seizures are made without a warrant. Nonetheless, police officers must always be aware of the general rule so that they make warrantless searches only if justified under one of the exceptions. In the words of the Court: “The point of the Fourth Amendment, which often is not grasped by zealous officers, is not that it denies law enforcement the support of the usual inferences that reasonable people draw from evidence. Its protection consists in requiring that those inferences be drawn by a neutral and detached magistrate instead of being judged by the officer engaged in the </w:t>
      </w:r>
      <w:proofErr w:type="gramStart"/>
      <w:r>
        <w:rPr>
          <w:color w:val="000000"/>
        </w:rPr>
        <w:t>often competitive</w:t>
      </w:r>
      <w:proofErr w:type="gramEnd"/>
      <w:r>
        <w:rPr>
          <w:color w:val="000000"/>
        </w:rPr>
        <w:t xml:space="preserve"> enterprise of ferreting out crime” (</w:t>
      </w:r>
      <w:r>
        <w:rPr>
          <w:rStyle w:val="Emphasis"/>
          <w:color w:val="000000"/>
        </w:rPr>
        <w:t>Johnson v. United States</w:t>
      </w:r>
      <w:r>
        <w:rPr>
          <w:color w:val="000000"/>
        </w:rPr>
        <w:t>, 333 U.S. 10 [1948]).</w:t>
      </w:r>
    </w:p>
    <w:p w14:paraId="6B2CF2D8" w14:textId="77777777" w:rsidR="009826EC" w:rsidRDefault="009826EC" w:rsidP="009826EC">
      <w:pPr>
        <w:pStyle w:val="noindent"/>
        <w:spacing w:before="0" w:beforeAutospacing="0" w:after="0" w:afterAutospacing="0"/>
        <w:jc w:val="both"/>
        <w:rPr>
          <w:color w:val="000000"/>
          <w:sz w:val="20"/>
          <w:szCs w:val="20"/>
        </w:rPr>
      </w:pPr>
      <w:r>
        <w:rPr>
          <w:rStyle w:val="Emphasis"/>
          <w:color w:val="000000"/>
          <w:sz w:val="20"/>
          <w:szCs w:val="20"/>
        </w:rPr>
        <w:t>Johnson v. United States</w:t>
      </w:r>
      <w:r>
        <w:rPr>
          <w:rStyle w:val="apple-converted-space"/>
          <w:color w:val="000000"/>
          <w:sz w:val="20"/>
          <w:szCs w:val="20"/>
        </w:rPr>
        <w:t> </w:t>
      </w:r>
      <w:r>
        <w:rPr>
          <w:color w:val="000000"/>
          <w:sz w:val="20"/>
          <w:szCs w:val="20"/>
        </w:rPr>
        <w:t>(1948)</w:t>
      </w:r>
    </w:p>
    <w:p w14:paraId="366D3830" w14:textId="77777777" w:rsidR="009826EC" w:rsidRDefault="00872E7F" w:rsidP="009826EC">
      <w:pPr>
        <w:pStyle w:val="Heading2"/>
        <w:shd w:val="clear" w:color="auto" w:fill="EDEEEE"/>
        <w:spacing w:before="240" w:beforeAutospacing="0" w:after="120" w:afterAutospacing="0"/>
        <w:rPr>
          <w:color w:val="000000"/>
          <w:sz w:val="31"/>
          <w:szCs w:val="31"/>
        </w:rPr>
      </w:pPr>
      <w:hyperlink r:id="rId78" w:anchor="toc-ch7-7" w:history="1">
        <w:r w:rsidR="009826EC">
          <w:rPr>
            <w:rStyle w:val="Hyperlink"/>
            <w:color w:val="000000"/>
            <w:sz w:val="31"/>
            <w:szCs w:val="31"/>
          </w:rPr>
          <w:t>THINGS SUBJECT TO SEARCH AND SEIZURE</w:t>
        </w:r>
      </w:hyperlink>
    </w:p>
    <w:p w14:paraId="17115CB0" w14:textId="77777777" w:rsidR="009826EC" w:rsidRDefault="009826EC" w:rsidP="009826EC">
      <w:pPr>
        <w:pStyle w:val="noindent"/>
        <w:spacing w:before="0" w:beforeAutospacing="0" w:after="0" w:afterAutospacing="0"/>
        <w:jc w:val="both"/>
        <w:rPr>
          <w:color w:val="000000"/>
        </w:rPr>
      </w:pPr>
      <w:r>
        <w:rPr>
          <w:color w:val="000000"/>
        </w:rPr>
        <w:t>Generally, four types of things can be searched and seized:</w:t>
      </w:r>
    </w:p>
    <w:p w14:paraId="101D77D9" w14:textId="77777777" w:rsidR="009826EC" w:rsidRDefault="009826EC" w:rsidP="009826EC">
      <w:pPr>
        <w:pStyle w:val="paralist3"/>
        <w:spacing w:before="0" w:beforeAutospacing="0" w:after="0" w:afterAutospacing="0"/>
        <w:jc w:val="both"/>
        <w:rPr>
          <w:color w:val="000000"/>
        </w:rPr>
      </w:pPr>
      <w:r>
        <w:rPr>
          <w:rStyle w:val="label"/>
          <w:color w:val="000000"/>
        </w:rPr>
        <w:t>♦</w:t>
      </w:r>
      <w:r>
        <w:rPr>
          <w:rStyle w:val="Emphasis"/>
          <w:color w:val="000000"/>
        </w:rPr>
        <w:t>Contraband</w:t>
      </w:r>
      <w:r>
        <w:rPr>
          <w:color w:val="000000"/>
        </w:rPr>
        <w:t>, such as illegal drugs, counterfeit money, and gambling paraphernalia. With limited exceptions, these items are illegal for anybody to possess.</w:t>
      </w:r>
    </w:p>
    <w:p w14:paraId="558B843E" w14:textId="77777777" w:rsidR="009826EC" w:rsidRDefault="009826EC" w:rsidP="009826EC">
      <w:pPr>
        <w:pStyle w:val="paralist3"/>
        <w:spacing w:before="0" w:beforeAutospacing="0" w:after="0" w:afterAutospacing="0"/>
        <w:jc w:val="both"/>
        <w:rPr>
          <w:color w:val="000000"/>
        </w:rPr>
      </w:pPr>
      <w:r>
        <w:rPr>
          <w:rStyle w:val="label"/>
          <w:color w:val="000000"/>
        </w:rPr>
        <w:t>♦</w:t>
      </w:r>
      <w:r>
        <w:rPr>
          <w:rStyle w:val="Emphasis"/>
          <w:color w:val="000000"/>
        </w:rPr>
        <w:t>Fruits of the crime</w:t>
      </w:r>
      <w:r>
        <w:rPr>
          <w:color w:val="000000"/>
        </w:rPr>
        <w:t>, such as stolen goods and forged checks.</w:t>
      </w:r>
    </w:p>
    <w:p w14:paraId="645D1224" w14:textId="77777777" w:rsidR="009826EC" w:rsidRDefault="009826EC" w:rsidP="009826EC">
      <w:pPr>
        <w:pStyle w:val="paralist3"/>
        <w:spacing w:before="0" w:beforeAutospacing="0" w:after="0" w:afterAutospacing="0"/>
        <w:jc w:val="both"/>
        <w:rPr>
          <w:color w:val="000000"/>
        </w:rPr>
      </w:pPr>
      <w:r>
        <w:rPr>
          <w:rStyle w:val="label"/>
          <w:color w:val="000000"/>
        </w:rPr>
        <w:t>♦</w:t>
      </w:r>
      <w:r>
        <w:rPr>
          <w:rStyle w:val="Emphasis"/>
          <w:color w:val="000000"/>
        </w:rPr>
        <w:t>Instrumentalities of the crime</w:t>
      </w:r>
      <w:r>
        <w:rPr>
          <w:color w:val="000000"/>
        </w:rPr>
        <w:t>, such as weapons and burglary tools.</w:t>
      </w:r>
    </w:p>
    <w:p w14:paraId="618DE430" w14:textId="77777777" w:rsidR="009826EC" w:rsidRDefault="009826EC" w:rsidP="009826EC">
      <w:pPr>
        <w:pStyle w:val="paralist3"/>
        <w:spacing w:before="0" w:beforeAutospacing="0" w:after="0" w:afterAutospacing="0"/>
        <w:jc w:val="both"/>
        <w:rPr>
          <w:color w:val="000000"/>
        </w:rPr>
      </w:pPr>
      <w:proofErr w:type="gramStart"/>
      <w:r>
        <w:rPr>
          <w:rStyle w:val="label"/>
          <w:color w:val="000000"/>
        </w:rPr>
        <w:t>♦</w:t>
      </w:r>
      <w:r>
        <w:rPr>
          <w:rStyle w:val="Emphasis"/>
          <w:color w:val="000000"/>
        </w:rPr>
        <w:t>“</w:t>
      </w:r>
      <w:proofErr w:type="gramEnd"/>
      <w:r>
        <w:rPr>
          <w:rStyle w:val="Emphasis"/>
          <w:color w:val="000000"/>
        </w:rPr>
        <w:t>Mere evidence” of the crime</w:t>
      </w:r>
      <w:r>
        <w:rPr>
          <w:color w:val="000000"/>
        </w:rPr>
        <w:t>, such as a suspect's clothing containing bloodstains of the victim, or a suspect's mask or shoes—provided there is probable cause to believe that the item is related to criminal activity.</w:t>
      </w:r>
    </w:p>
    <w:p w14:paraId="1B7801F9" w14:textId="77777777" w:rsidR="009826EC" w:rsidRDefault="009826EC" w:rsidP="009826EC">
      <w:pPr>
        <w:pStyle w:val="indent"/>
        <w:spacing w:before="0" w:beforeAutospacing="0" w:after="0" w:afterAutospacing="0"/>
        <w:ind w:firstLine="360"/>
        <w:jc w:val="both"/>
        <w:rPr>
          <w:color w:val="000000"/>
        </w:rPr>
      </w:pPr>
      <w:r>
        <w:rPr>
          <w:color w:val="000000"/>
        </w:rPr>
        <w:t>These are merely general categories of things officers may search and seize. In many states, the law (usually the code of criminal procedure or the penal code) enumerates in detail the items subject to search and seizure. Whatever the listing, an item listed by state law is likely to fall into one of the four categories listed.</w:t>
      </w:r>
    </w:p>
    <w:p w14:paraId="65F05C96" w14:textId="77777777" w:rsidR="009826EC" w:rsidRDefault="00872E7F" w:rsidP="009826EC">
      <w:pPr>
        <w:pStyle w:val="Heading2"/>
        <w:shd w:val="clear" w:color="auto" w:fill="EDEEEE"/>
        <w:spacing w:before="240" w:beforeAutospacing="0" w:after="120" w:afterAutospacing="0"/>
        <w:rPr>
          <w:color w:val="000000"/>
          <w:sz w:val="31"/>
          <w:szCs w:val="31"/>
        </w:rPr>
      </w:pPr>
      <w:hyperlink r:id="rId79" w:anchor="toc-ch7-8" w:history="1">
        <w:r w:rsidR="009826EC">
          <w:rPr>
            <w:rStyle w:val="Hyperlink"/>
            <w:color w:val="000000"/>
            <w:sz w:val="31"/>
            <w:szCs w:val="31"/>
          </w:rPr>
          <w:t>THE SCOPE OF THE SEARCH</w:t>
        </w:r>
      </w:hyperlink>
    </w:p>
    <w:p w14:paraId="511CC9FF" w14:textId="77777777" w:rsidR="009826EC" w:rsidRDefault="009826EC" w:rsidP="009826EC">
      <w:pPr>
        <w:pStyle w:val="noindent"/>
        <w:spacing w:before="0" w:beforeAutospacing="0" w:after="0" w:afterAutospacing="0"/>
        <w:jc w:val="both"/>
        <w:rPr>
          <w:color w:val="000000"/>
        </w:rPr>
      </w:pPr>
      <w:r>
        <w:rPr>
          <w:color w:val="000000"/>
        </w:rPr>
        <w:t>The scope and manner of the search must be reasonable based on the object of the search. A wise legal maxim for officers to remember is this:</w:t>
      </w:r>
      <w:r>
        <w:rPr>
          <w:rStyle w:val="apple-converted-space"/>
          <w:color w:val="000000"/>
        </w:rPr>
        <w:t> </w:t>
      </w:r>
      <w:r>
        <w:rPr>
          <w:rStyle w:val="Emphasis"/>
          <w:color w:val="000000"/>
        </w:rPr>
        <w:t>It is unreasonable for a police officer to look for an elephant in a matchbox.</w:t>
      </w:r>
      <w:r>
        <w:rPr>
          <w:rStyle w:val="apple-converted-space"/>
          <w:color w:val="000000"/>
        </w:rPr>
        <w:t> </w:t>
      </w:r>
      <w:r>
        <w:rPr>
          <w:color w:val="000000"/>
        </w:rPr>
        <w:t xml:space="preserve">For example, suppose a search warrant is issued for the recovery of a stolen 60-inch plasma television. In looking for the television, the officer cannot open drawers—unless, of course, the drawer is big enough to contain the television. However, if the search warrant is for heroin, then the officer is justified in opening drawers </w:t>
      </w:r>
      <w:proofErr w:type="gramStart"/>
      <w:r>
        <w:rPr>
          <w:color w:val="000000"/>
        </w:rPr>
        <w:t>in the course of</w:t>
      </w:r>
      <w:proofErr w:type="gramEnd"/>
      <w:r>
        <w:rPr>
          <w:color w:val="000000"/>
        </w:rPr>
        <w:t xml:space="preserve"> the search, as heroin could obviously fit inside a drawer. It therefore follows that the smaller the item sought, the more extensive the scope of the search.</w:t>
      </w:r>
    </w:p>
    <w:p w14:paraId="1A43FA08" w14:textId="77777777" w:rsidR="009826EC" w:rsidRPr="009826EC" w:rsidRDefault="00872E7F" w:rsidP="009826EC">
      <w:pPr>
        <w:shd w:val="clear" w:color="auto" w:fill="D1D2D4"/>
        <w:rPr>
          <w:rFonts w:ascii="Times New Roman" w:eastAsia="Times New Roman" w:hAnsi="Times New Roman" w:cs="Times New Roman"/>
          <w:b/>
          <w:bCs/>
          <w:color w:val="000000"/>
          <w:sz w:val="31"/>
          <w:szCs w:val="31"/>
        </w:rPr>
      </w:pPr>
      <w:hyperlink r:id="rId80" w:anchor="toc-action7-1" w:history="1">
        <w:r w:rsidR="009826EC" w:rsidRPr="009826EC">
          <w:rPr>
            <w:rFonts w:ascii="Times New Roman" w:eastAsia="Times New Roman" w:hAnsi="Times New Roman" w:cs="Times New Roman"/>
            <w:b/>
            <w:bCs/>
            <w:color w:val="FFFFFF"/>
            <w:sz w:val="40"/>
            <w:szCs w:val="40"/>
            <w:u w:val="single"/>
            <w:shd w:val="clear" w:color="auto" w:fill="000000"/>
          </w:rPr>
          <w:t>IN ACTION</w:t>
        </w:r>
        <w:r w:rsidR="009826EC" w:rsidRPr="009826EC">
          <w:rPr>
            <w:rFonts w:ascii="Times New Roman" w:eastAsia="Times New Roman" w:hAnsi="Times New Roman" w:cs="Times New Roman"/>
            <w:b/>
            <w:bCs/>
            <w:color w:val="0000FF"/>
            <w:sz w:val="31"/>
            <w:szCs w:val="31"/>
            <w:u w:val="single"/>
          </w:rPr>
          <w:t> </w:t>
        </w:r>
        <w:r w:rsidR="009826EC" w:rsidRPr="009826EC">
          <w:rPr>
            <w:rFonts w:ascii="Times New Roman" w:eastAsia="Times New Roman" w:hAnsi="Times New Roman" w:cs="Times New Roman"/>
            <w:b/>
            <w:bCs/>
            <w:i/>
            <w:iCs/>
            <w:color w:val="000000"/>
            <w:sz w:val="31"/>
            <w:szCs w:val="31"/>
          </w:rPr>
          <w:t>EXTENDING THE SCOPE OF A SEARCH</w:t>
        </w:r>
      </w:hyperlink>
    </w:p>
    <w:p w14:paraId="3CDBCF16" w14:textId="77777777" w:rsidR="009826EC" w:rsidRPr="009826EC" w:rsidRDefault="009826EC" w:rsidP="009826EC">
      <w:pPr>
        <w:spacing w:before="240" w:after="48"/>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 xml:space="preserve">Police officers in Springfield, Missouri, develop probable cause (based on a tip from a reliable informant and their corroboration of the information provided) that Jim Garland is the leader of a motorcycle gang that has been burglarizing residences in the area and stealing computers, televisions, jewelry, and other valuable items. The police have probable cause to believe some of the stolen items </w:t>
      </w:r>
      <w:proofErr w:type="gramStart"/>
      <w:r w:rsidRPr="009826EC">
        <w:rPr>
          <w:rFonts w:ascii="Times New Roman" w:eastAsia="Times New Roman" w:hAnsi="Times New Roman" w:cs="Times New Roman"/>
          <w:color w:val="000000"/>
        </w:rPr>
        <w:t>are located in</w:t>
      </w:r>
      <w:proofErr w:type="gramEnd"/>
      <w:r w:rsidRPr="009826EC">
        <w:rPr>
          <w:rFonts w:ascii="Times New Roman" w:eastAsia="Times New Roman" w:hAnsi="Times New Roman" w:cs="Times New Roman"/>
          <w:color w:val="000000"/>
        </w:rPr>
        <w:t xml:space="preserve"> a rented storage unit. They obtain a search warrant for the storage unit which authorizes them to look for the various stolen items, including items as large as a 60-inch television and as small as some rings and earrings. They execute the search warrant at the storage unit, but do not find any of the items listed in the search warrant. They do discover several plastic baggies containing marijuana, however. They seize the marijuana, and then drive over to Jim Garland's house and knock on the door. When no one answers, they walk around the house to the garage, open the unlocked door, and look inside. They find </w:t>
      </w:r>
      <w:proofErr w:type="gramStart"/>
      <w:r w:rsidRPr="009826EC">
        <w:rPr>
          <w:rFonts w:ascii="Times New Roman" w:eastAsia="Times New Roman" w:hAnsi="Times New Roman" w:cs="Times New Roman"/>
          <w:color w:val="000000"/>
        </w:rPr>
        <w:t>a number of</w:t>
      </w:r>
      <w:proofErr w:type="gramEnd"/>
      <w:r w:rsidRPr="009826EC">
        <w:rPr>
          <w:rFonts w:ascii="Times New Roman" w:eastAsia="Times New Roman" w:hAnsi="Times New Roman" w:cs="Times New Roman"/>
          <w:color w:val="000000"/>
        </w:rPr>
        <w:t xml:space="preserve"> stolen items that were listed in the search warrant. They seize these items. Just then, Jim Garland returns home, and they arrest him. He is charged with multiple counts of theft, and with drug possession.</w:t>
      </w:r>
    </w:p>
    <w:p w14:paraId="57A45216" w14:textId="77777777" w:rsidR="009826EC" w:rsidRPr="009826EC" w:rsidRDefault="009826EC" w:rsidP="009826EC">
      <w:pPr>
        <w:ind w:left="120"/>
        <w:jc w:val="both"/>
        <w:rPr>
          <w:rFonts w:ascii="Times New Roman" w:eastAsia="Times New Roman" w:hAnsi="Times New Roman" w:cs="Times New Roman"/>
          <w:color w:val="000000"/>
        </w:rPr>
      </w:pPr>
      <w:r w:rsidRPr="009826EC">
        <w:rPr>
          <w:rFonts w:ascii="Times New Roman" w:eastAsia="Times New Roman" w:hAnsi="Times New Roman" w:cs="Times New Roman"/>
          <w:i/>
          <w:iCs/>
          <w:color w:val="000000"/>
        </w:rPr>
        <w:t>1.Was the search of the storage unit lawful?</w:t>
      </w:r>
    </w:p>
    <w:p w14:paraId="55EE00B0" w14:textId="77777777" w:rsidR="009826EC" w:rsidRPr="009826EC" w:rsidRDefault="009826EC" w:rsidP="009826EC">
      <w:pPr>
        <w:ind w:left="120"/>
        <w:jc w:val="both"/>
        <w:rPr>
          <w:rFonts w:ascii="Times New Roman" w:eastAsia="Times New Roman" w:hAnsi="Times New Roman" w:cs="Times New Roman"/>
          <w:color w:val="000000"/>
        </w:rPr>
      </w:pPr>
      <w:r w:rsidRPr="009826EC">
        <w:rPr>
          <w:rFonts w:ascii="Times New Roman" w:eastAsia="Times New Roman" w:hAnsi="Times New Roman" w:cs="Times New Roman"/>
          <w:i/>
          <w:iCs/>
          <w:color w:val="000000"/>
        </w:rPr>
        <w:t>2.Was the seizure of the marijuana lawful?</w:t>
      </w:r>
    </w:p>
    <w:p w14:paraId="269D52F4" w14:textId="77777777" w:rsidR="009826EC" w:rsidRPr="009826EC" w:rsidRDefault="009826EC" w:rsidP="009826EC">
      <w:pPr>
        <w:ind w:left="120"/>
        <w:jc w:val="both"/>
        <w:rPr>
          <w:rFonts w:ascii="Times New Roman" w:eastAsia="Times New Roman" w:hAnsi="Times New Roman" w:cs="Times New Roman"/>
          <w:color w:val="000000"/>
        </w:rPr>
      </w:pPr>
      <w:r w:rsidRPr="009826EC">
        <w:rPr>
          <w:rFonts w:ascii="Times New Roman" w:eastAsia="Times New Roman" w:hAnsi="Times New Roman" w:cs="Times New Roman"/>
          <w:i/>
          <w:iCs/>
          <w:color w:val="000000"/>
        </w:rPr>
        <w:t>3.Was the search of the garage lawful? Why or why not?</w:t>
      </w:r>
    </w:p>
    <w:p w14:paraId="7C842D82" w14:textId="77777777" w:rsidR="009826EC" w:rsidRPr="009826EC" w:rsidRDefault="009826EC" w:rsidP="009826EC">
      <w:pPr>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While the search is being conducted, the police may detain persons who are on the premises to search them (</w:t>
      </w:r>
      <w:r w:rsidRPr="009826EC">
        <w:rPr>
          <w:rFonts w:ascii="Times New Roman" w:eastAsia="Times New Roman" w:hAnsi="Times New Roman" w:cs="Times New Roman"/>
          <w:i/>
          <w:iCs/>
          <w:color w:val="000000"/>
        </w:rPr>
        <w:t>Michigan v. Summers</w:t>
      </w:r>
      <w:r w:rsidRPr="009826EC">
        <w:rPr>
          <w:rFonts w:ascii="Times New Roman" w:eastAsia="Times New Roman" w:hAnsi="Times New Roman" w:cs="Times New Roman"/>
          <w:color w:val="000000"/>
        </w:rPr>
        <w:t xml:space="preserve">, 452 U.S. 692 [1981]). However, these people must have been named in the warrant. For example, a search warrant for a bar and the bartender does not authorize </w:t>
      </w:r>
      <w:r w:rsidRPr="009826EC">
        <w:rPr>
          <w:rFonts w:ascii="Times New Roman" w:eastAsia="Times New Roman" w:hAnsi="Times New Roman" w:cs="Times New Roman"/>
          <w:color w:val="000000"/>
        </w:rPr>
        <w:lastRenderedPageBreak/>
        <w:t>body searches of the bar patrons (</w:t>
      </w:r>
      <w:r w:rsidRPr="009826EC">
        <w:rPr>
          <w:rFonts w:ascii="Times New Roman" w:eastAsia="Times New Roman" w:hAnsi="Times New Roman" w:cs="Times New Roman"/>
          <w:i/>
          <w:iCs/>
          <w:color w:val="000000"/>
        </w:rPr>
        <w:t>Ybarra v. Illinois</w:t>
      </w:r>
      <w:r w:rsidRPr="009826EC">
        <w:rPr>
          <w:rFonts w:ascii="Times New Roman" w:eastAsia="Times New Roman" w:hAnsi="Times New Roman" w:cs="Times New Roman"/>
          <w:color w:val="000000"/>
        </w:rPr>
        <w:t>, 444 U.S. 85 [1979]). In addition, the </w:t>
      </w:r>
      <w:r w:rsidRPr="009826EC">
        <w:rPr>
          <w:rFonts w:ascii="Times New Roman" w:eastAsia="Times New Roman" w:hAnsi="Times New Roman" w:cs="Times New Roman"/>
          <w:i/>
          <w:iCs/>
          <w:color w:val="000000"/>
        </w:rPr>
        <w:t>Summers</w:t>
      </w:r>
      <w:r w:rsidRPr="009826EC">
        <w:rPr>
          <w:rFonts w:ascii="Times New Roman" w:eastAsia="Times New Roman" w:hAnsi="Times New Roman" w:cs="Times New Roman"/>
          <w:color w:val="000000"/>
        </w:rPr>
        <w:t> rule that officers executing a search warrant are permitted to detain the occupants of the premises while a search is conducted is limited to the immediate vicinity of the premises to be searched and does not apply when a recent occupant of the premises was detained at a point outside of the immediate vicinity of the premises—in this case about one mile away (</w:t>
      </w:r>
      <w:r w:rsidRPr="009826EC">
        <w:rPr>
          <w:rFonts w:ascii="Times New Roman" w:eastAsia="Times New Roman" w:hAnsi="Times New Roman" w:cs="Times New Roman"/>
          <w:i/>
          <w:iCs/>
          <w:color w:val="000000"/>
        </w:rPr>
        <w:t>Bailey v. United States</w:t>
      </w:r>
      <w:r w:rsidRPr="009826EC">
        <w:rPr>
          <w:rFonts w:ascii="Times New Roman" w:eastAsia="Times New Roman" w:hAnsi="Times New Roman" w:cs="Times New Roman"/>
          <w:color w:val="000000"/>
        </w:rPr>
        <w:t>, —U.S. — [2013]).</w:t>
      </w:r>
    </w:p>
    <w:p w14:paraId="75D2D061" w14:textId="77777777" w:rsidR="009826EC" w:rsidRPr="009826EC" w:rsidRDefault="009826EC" w:rsidP="009826EC">
      <w:pPr>
        <w:jc w:val="both"/>
        <w:rPr>
          <w:rFonts w:ascii="Times New Roman" w:eastAsia="Times New Roman" w:hAnsi="Times New Roman" w:cs="Times New Roman"/>
          <w:color w:val="000000"/>
          <w:sz w:val="20"/>
          <w:szCs w:val="20"/>
        </w:rPr>
      </w:pPr>
      <w:r w:rsidRPr="009826EC">
        <w:rPr>
          <w:rFonts w:ascii="Times New Roman" w:eastAsia="Times New Roman" w:hAnsi="Times New Roman" w:cs="Times New Roman"/>
          <w:i/>
          <w:iCs/>
          <w:color w:val="000000"/>
          <w:sz w:val="20"/>
          <w:szCs w:val="20"/>
        </w:rPr>
        <w:t>Michigan v. Summers</w:t>
      </w:r>
      <w:r w:rsidRPr="009826EC">
        <w:rPr>
          <w:rFonts w:ascii="Times New Roman" w:eastAsia="Times New Roman" w:hAnsi="Times New Roman" w:cs="Times New Roman"/>
          <w:color w:val="000000"/>
          <w:sz w:val="20"/>
          <w:szCs w:val="20"/>
        </w:rPr>
        <w:t> (1981)</w:t>
      </w:r>
    </w:p>
    <w:p w14:paraId="339118B1" w14:textId="77777777" w:rsidR="009826EC" w:rsidRPr="009826EC" w:rsidRDefault="009826EC" w:rsidP="009826EC">
      <w:pPr>
        <w:jc w:val="both"/>
        <w:rPr>
          <w:rFonts w:ascii="Times New Roman" w:eastAsia="Times New Roman" w:hAnsi="Times New Roman" w:cs="Times New Roman"/>
          <w:color w:val="000000"/>
          <w:sz w:val="20"/>
          <w:szCs w:val="20"/>
        </w:rPr>
      </w:pPr>
      <w:r w:rsidRPr="009826EC">
        <w:rPr>
          <w:rFonts w:ascii="Times New Roman" w:eastAsia="Times New Roman" w:hAnsi="Times New Roman" w:cs="Times New Roman"/>
          <w:i/>
          <w:iCs/>
          <w:color w:val="000000"/>
          <w:sz w:val="20"/>
          <w:szCs w:val="20"/>
        </w:rPr>
        <w:t>Ybarra v. Illinois</w:t>
      </w:r>
      <w:r w:rsidRPr="009826EC">
        <w:rPr>
          <w:rFonts w:ascii="Times New Roman" w:eastAsia="Times New Roman" w:hAnsi="Times New Roman" w:cs="Times New Roman"/>
          <w:color w:val="000000"/>
          <w:sz w:val="20"/>
          <w:szCs w:val="20"/>
        </w:rPr>
        <w:t> (1979)</w:t>
      </w:r>
    </w:p>
    <w:p w14:paraId="606D1717" w14:textId="77777777" w:rsidR="009826EC" w:rsidRPr="009826EC" w:rsidRDefault="009826EC" w:rsidP="009826EC">
      <w:pPr>
        <w:jc w:val="both"/>
        <w:rPr>
          <w:rFonts w:ascii="Times New Roman" w:eastAsia="Times New Roman" w:hAnsi="Times New Roman" w:cs="Times New Roman"/>
          <w:color w:val="000000"/>
          <w:sz w:val="20"/>
          <w:szCs w:val="20"/>
        </w:rPr>
      </w:pPr>
      <w:r w:rsidRPr="009826EC">
        <w:rPr>
          <w:rFonts w:ascii="Times New Roman" w:eastAsia="Times New Roman" w:hAnsi="Times New Roman" w:cs="Times New Roman"/>
          <w:i/>
          <w:iCs/>
          <w:color w:val="000000"/>
          <w:sz w:val="20"/>
          <w:szCs w:val="20"/>
        </w:rPr>
        <w:t>Bailey v. United States</w:t>
      </w:r>
      <w:r w:rsidRPr="009826EC">
        <w:rPr>
          <w:rFonts w:ascii="Times New Roman" w:eastAsia="Times New Roman" w:hAnsi="Times New Roman" w:cs="Times New Roman"/>
          <w:color w:val="000000"/>
          <w:sz w:val="20"/>
          <w:szCs w:val="20"/>
        </w:rPr>
        <w:t> (2013)</w:t>
      </w:r>
    </w:p>
    <w:p w14:paraId="541BB08F" w14:textId="77777777" w:rsidR="009826EC" w:rsidRPr="009826EC" w:rsidRDefault="009826EC" w:rsidP="009826EC">
      <w:pPr>
        <w:ind w:firstLine="360"/>
        <w:jc w:val="both"/>
        <w:rPr>
          <w:rFonts w:ascii="Times New Roman" w:eastAsia="Times New Roman" w:hAnsi="Times New Roman" w:cs="Times New Roman"/>
          <w:color w:val="000000"/>
        </w:rPr>
      </w:pPr>
      <w:r w:rsidRPr="009826EC">
        <w:rPr>
          <w:rFonts w:ascii="Times New Roman" w:eastAsia="Times New Roman" w:hAnsi="Times New Roman" w:cs="Times New Roman"/>
          <w:color w:val="000000"/>
        </w:rPr>
        <w:t>Searches of property belonging to persons not suspected of a crime are permissible so long as probable cause exists to suspect that evidence of someone's guilt or other items subject to seizure will be found. For example, in one case, several police officers were hurt at a political demonstration. The police could not identify their attackers, but they knew that a newspaper staff photographer had taken photographs of the demonstration. The police were able to obtain a warrant to search the newspaper's offices because probable cause existed that evidence of someone's guilt would be found (</w:t>
      </w:r>
      <w:r w:rsidRPr="009826EC">
        <w:rPr>
          <w:rFonts w:ascii="Times New Roman" w:eastAsia="Times New Roman" w:hAnsi="Times New Roman" w:cs="Times New Roman"/>
          <w:i/>
          <w:iCs/>
          <w:color w:val="000000"/>
        </w:rPr>
        <w:t>Zurcher v. Stanford Daily</w:t>
      </w:r>
      <w:r w:rsidRPr="009826EC">
        <w:rPr>
          <w:rFonts w:ascii="Times New Roman" w:eastAsia="Times New Roman" w:hAnsi="Times New Roman" w:cs="Times New Roman"/>
          <w:color w:val="000000"/>
        </w:rPr>
        <w:t>, 436 U.S. 547 [1978]).</w:t>
      </w:r>
    </w:p>
    <w:p w14:paraId="45514AAC" w14:textId="77777777" w:rsidR="009826EC" w:rsidRPr="009826EC" w:rsidRDefault="009826EC" w:rsidP="009826EC">
      <w:pPr>
        <w:jc w:val="both"/>
        <w:rPr>
          <w:rFonts w:ascii="Times New Roman" w:eastAsia="Times New Roman" w:hAnsi="Times New Roman" w:cs="Times New Roman"/>
          <w:color w:val="000000"/>
          <w:sz w:val="20"/>
          <w:szCs w:val="20"/>
        </w:rPr>
      </w:pPr>
      <w:r w:rsidRPr="009826EC">
        <w:rPr>
          <w:rFonts w:ascii="Times New Roman" w:eastAsia="Times New Roman" w:hAnsi="Times New Roman" w:cs="Times New Roman"/>
          <w:i/>
          <w:iCs/>
          <w:color w:val="000000"/>
          <w:sz w:val="20"/>
          <w:szCs w:val="20"/>
        </w:rPr>
        <w:t>Zurcher v. Stanford Daily</w:t>
      </w:r>
      <w:r w:rsidRPr="009826EC">
        <w:rPr>
          <w:rFonts w:ascii="Times New Roman" w:eastAsia="Times New Roman" w:hAnsi="Times New Roman" w:cs="Times New Roman"/>
          <w:color w:val="000000"/>
          <w:sz w:val="20"/>
          <w:szCs w:val="20"/>
        </w:rPr>
        <w:t> (1978)</w:t>
      </w:r>
    </w:p>
    <w:p w14:paraId="5AAA7177" w14:textId="77777777" w:rsidR="009826EC" w:rsidRPr="009826EC" w:rsidRDefault="009826EC" w:rsidP="009826EC">
      <w:pPr>
        <w:rPr>
          <w:rFonts w:ascii="Times New Roman" w:eastAsia="Times New Roman" w:hAnsi="Times New Roman" w:cs="Times New Roman"/>
        </w:rPr>
      </w:pPr>
    </w:p>
    <w:p w14:paraId="2B7F74DE" w14:textId="77777777" w:rsidR="009826EC" w:rsidRDefault="00872E7F" w:rsidP="009826EC">
      <w:pPr>
        <w:pStyle w:val="Heading2"/>
        <w:shd w:val="clear" w:color="auto" w:fill="EDEEEE"/>
        <w:spacing w:before="240" w:beforeAutospacing="0" w:after="120" w:afterAutospacing="0"/>
        <w:rPr>
          <w:color w:val="000000"/>
          <w:sz w:val="31"/>
          <w:szCs w:val="31"/>
        </w:rPr>
      </w:pPr>
      <w:hyperlink r:id="rId81" w:anchor="toc-ch7-9" w:history="1">
        <w:r w:rsidR="009826EC">
          <w:rPr>
            <w:rStyle w:val="Hyperlink"/>
            <w:color w:val="000000"/>
            <w:sz w:val="31"/>
            <w:szCs w:val="31"/>
            <w:u w:val="none"/>
          </w:rPr>
          <w:t>THE TIME ALLOWED FOR A SEARCH</w:t>
        </w:r>
      </w:hyperlink>
    </w:p>
    <w:p w14:paraId="53B33B12" w14:textId="77777777" w:rsidR="009826EC" w:rsidRDefault="009826EC" w:rsidP="009826EC">
      <w:pPr>
        <w:pStyle w:val="noindent"/>
        <w:spacing w:before="0" w:beforeAutospacing="0" w:after="0" w:afterAutospacing="0"/>
        <w:jc w:val="both"/>
        <w:rPr>
          <w:color w:val="000000"/>
        </w:rPr>
      </w:pPr>
      <w:r>
        <w:rPr>
          <w:color w:val="000000"/>
        </w:rPr>
        <w:t>The search cannot last indefinitely, with or without a warrant. Once the item mentioned in the warrant is recovered, the search must cease. Continued search without justification becomes a</w:t>
      </w:r>
      <w:r>
        <w:rPr>
          <w:rStyle w:val="apple-converted-space"/>
          <w:color w:val="000000"/>
        </w:rPr>
        <w:t> </w:t>
      </w:r>
      <w:hyperlink r:id="rId82" w:anchor="kt7-5" w:history="1">
        <w:r>
          <w:rPr>
            <w:rStyle w:val="Hyperlink"/>
            <w:b/>
            <w:bCs/>
            <w:color w:val="000000"/>
            <w:u w:val="none"/>
          </w:rPr>
          <w:t>fishing expedition</w:t>
        </w:r>
      </w:hyperlink>
      <w:r>
        <w:rPr>
          <w:rStyle w:val="apple-converted-space"/>
          <w:color w:val="000000"/>
        </w:rPr>
        <w:t> </w:t>
      </w:r>
      <w:r>
        <w:rPr>
          <w:color w:val="000000"/>
        </w:rPr>
        <w:t>for evidence and is illegal. An illegal search is never made legal by what is subsequently found. For example, suppose the police go to an apartment to execute a search for a shotgun allegedly used in a murder. After the shotgun is recovered, the police continue to search for other evidence in connection with the murder. They open a bedroom closet and find a pair of bloodstained jeans worn by the suspect during the murder. The bloody jeans, if seized and used in evidence, will not be admissible, because they were illegally obtained. Note, however, that items in plain view during the execution of the warrant can be seized by the police because such items are not protected by the Fourth Amendment. The plain view exception is discussed in</w:t>
      </w:r>
      <w:r>
        <w:rPr>
          <w:rStyle w:val="apple-converted-space"/>
          <w:color w:val="000000"/>
        </w:rPr>
        <w:t> </w:t>
      </w:r>
      <w:hyperlink r:id="rId83" w:anchor="ch9" w:history="1">
        <w:r>
          <w:rPr>
            <w:rStyle w:val="Hyperlink"/>
            <w:u w:val="none"/>
          </w:rPr>
          <w:t>Chapter 9</w:t>
        </w:r>
      </w:hyperlink>
      <w:r>
        <w:rPr>
          <w:color w:val="000000"/>
        </w:rPr>
        <w:t>.</w:t>
      </w:r>
    </w:p>
    <w:p w14:paraId="1DEDF3E3" w14:textId="77777777" w:rsidR="009826EC" w:rsidRDefault="009826EC" w:rsidP="009826EC">
      <w:pPr>
        <w:pStyle w:val="key"/>
        <w:shd w:val="clear" w:color="auto" w:fill="E7E7E8"/>
        <w:spacing w:before="48" w:beforeAutospacing="0" w:after="0" w:afterAutospacing="0"/>
        <w:jc w:val="both"/>
        <w:rPr>
          <w:color w:val="000000"/>
        </w:rPr>
      </w:pPr>
      <w:r>
        <w:rPr>
          <w:b/>
          <w:bCs/>
          <w:color w:val="000000"/>
        </w:rPr>
        <w:t>fishing expedition</w:t>
      </w:r>
      <w:r>
        <w:rPr>
          <w:color w:val="000000"/>
        </w:rPr>
        <w:br/>
        <w:t>a search for additional evidence conducted after all the evidence named in the search warrant has been discovered.</w:t>
      </w:r>
    </w:p>
    <w:p w14:paraId="4CB216D8" w14:textId="77777777" w:rsidR="009826EC" w:rsidRDefault="00872E7F" w:rsidP="009826EC">
      <w:pPr>
        <w:pStyle w:val="Heading2"/>
        <w:shd w:val="clear" w:color="auto" w:fill="EDEEEE"/>
        <w:spacing w:before="240" w:beforeAutospacing="0" w:after="120" w:afterAutospacing="0"/>
        <w:rPr>
          <w:color w:val="000000"/>
          <w:sz w:val="31"/>
          <w:szCs w:val="31"/>
        </w:rPr>
      </w:pPr>
      <w:hyperlink r:id="rId84" w:anchor="toc-ch7-10" w:history="1">
        <w:r w:rsidR="009826EC">
          <w:rPr>
            <w:rStyle w:val="Hyperlink"/>
            <w:color w:val="000000"/>
            <w:sz w:val="31"/>
            <w:szCs w:val="31"/>
            <w:u w:val="none"/>
          </w:rPr>
          <w:t>THE PROCEDURE AFTER THE SEARCH</w:t>
        </w:r>
      </w:hyperlink>
    </w:p>
    <w:p w14:paraId="67232BF7" w14:textId="77777777" w:rsidR="009826EC" w:rsidRDefault="009826EC" w:rsidP="009826EC">
      <w:pPr>
        <w:pStyle w:val="noindent"/>
        <w:spacing w:before="0" w:beforeAutospacing="0" w:after="0" w:afterAutospacing="0"/>
        <w:jc w:val="both"/>
        <w:rPr>
          <w:color w:val="000000"/>
        </w:rPr>
      </w:pPr>
      <w:r>
        <w:rPr>
          <w:color w:val="000000"/>
        </w:rPr>
        <w:t>After the search, the usual police practice is to give the occupant a list of the items that have been seized. If nobody is on the premises, the list must be left there, in a place where it will be found. In</w:t>
      </w:r>
      <w:r>
        <w:rPr>
          <w:rStyle w:val="apple-converted-space"/>
          <w:color w:val="000000"/>
        </w:rPr>
        <w:t> </w:t>
      </w:r>
      <w:r>
        <w:rPr>
          <w:rStyle w:val="Emphasis"/>
          <w:color w:val="000000"/>
        </w:rPr>
        <w:t>City of West Covina v. Perkins et al.</w:t>
      </w:r>
      <w:r>
        <w:rPr>
          <w:color w:val="000000"/>
        </w:rPr>
        <w:t xml:space="preserve">, 525 U.S. 234 (1999), the Court held that the police are not required by the Constitution to provide the owner of the seized property with a notice of remedies specified by state law for the property's return and the information necessary to use those procedures. The Court stressed the need to provide notice about what has been </w:t>
      </w:r>
      <w:proofErr w:type="gramStart"/>
      <w:r>
        <w:rPr>
          <w:color w:val="000000"/>
        </w:rPr>
        <w:t>taken, but</w:t>
      </w:r>
      <w:proofErr w:type="gramEnd"/>
      <w:r>
        <w:rPr>
          <w:color w:val="000000"/>
        </w:rPr>
        <w:t xml:space="preserve"> concluded that the other requirements specified by California state law, such as detailed notice of the state procedures for the return of the seized property, are not required by the due process clause of the Constitution.</w:t>
      </w:r>
    </w:p>
    <w:p w14:paraId="4B5A9838" w14:textId="77777777" w:rsidR="009826EC" w:rsidRDefault="00872E7F" w:rsidP="009826EC">
      <w:pPr>
        <w:pStyle w:val="Heading2"/>
        <w:shd w:val="clear" w:color="auto" w:fill="EDEEEE"/>
        <w:spacing w:before="240" w:beforeAutospacing="0" w:after="120" w:afterAutospacing="0"/>
        <w:rPr>
          <w:color w:val="000000"/>
          <w:sz w:val="31"/>
          <w:szCs w:val="31"/>
        </w:rPr>
      </w:pPr>
      <w:hyperlink r:id="rId85" w:anchor="toc-ch7-11" w:history="1">
        <w:r w:rsidR="009826EC">
          <w:rPr>
            <w:rStyle w:val="Hyperlink"/>
            <w:color w:val="000000"/>
            <w:sz w:val="31"/>
            <w:szCs w:val="31"/>
            <w:u w:val="none"/>
          </w:rPr>
          <w:t>SEARCH AND ARREST WARRANTS COMPARED</w:t>
        </w:r>
      </w:hyperlink>
    </w:p>
    <w:p w14:paraId="6D8E6EFD" w14:textId="77777777" w:rsidR="009826EC" w:rsidRDefault="009826EC" w:rsidP="009826EC">
      <w:pPr>
        <w:pStyle w:val="noindent"/>
        <w:spacing w:before="0" w:beforeAutospacing="0" w:after="0" w:afterAutospacing="0"/>
        <w:jc w:val="both"/>
        <w:rPr>
          <w:color w:val="000000"/>
        </w:rPr>
      </w:pPr>
      <w:r>
        <w:rPr>
          <w:color w:val="000000"/>
        </w:rPr>
        <w:lastRenderedPageBreak/>
        <w:t>Search warrants and arrest warrants have the following similarities:</w:t>
      </w:r>
    </w:p>
    <w:p w14:paraId="0C44C72A"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Probable cause is needed to issue a search warrant or an arrest warrant.</w:t>
      </w:r>
    </w:p>
    <w:p w14:paraId="4599556C"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The definition of probable cause is the same for both.</w:t>
      </w:r>
    </w:p>
    <w:p w14:paraId="266EEECC"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Probable cause for both is ultimately determined by a judge, not by the officer.</w:t>
      </w:r>
    </w:p>
    <w:p w14:paraId="08CBC46E"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In both, officers need to knock-and-announce, subject to state law exceptions.</w:t>
      </w:r>
    </w:p>
    <w:p w14:paraId="0C3B6BE8"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Items in plain view may be seized when executing a search warrant or an arrest warrant.</w:t>
      </w:r>
    </w:p>
    <w:p w14:paraId="5EA762BE" w14:textId="77777777" w:rsidR="009826EC" w:rsidRDefault="009826EC" w:rsidP="009826EC">
      <w:pPr>
        <w:pStyle w:val="indent"/>
        <w:spacing w:before="0" w:beforeAutospacing="0" w:after="0" w:afterAutospacing="0"/>
        <w:ind w:firstLine="360"/>
        <w:jc w:val="both"/>
        <w:rPr>
          <w:color w:val="000000"/>
        </w:rPr>
      </w:pPr>
      <w:r>
        <w:rPr>
          <w:color w:val="000000"/>
        </w:rPr>
        <w:t>Search warrants and arrest warrants have the following differences:</w:t>
      </w:r>
    </w:p>
    <w:tbl>
      <w:tblPr>
        <w:tblW w:w="17280" w:type="dxa"/>
        <w:tblCellMar>
          <w:top w:w="15" w:type="dxa"/>
          <w:left w:w="15" w:type="dxa"/>
          <w:bottom w:w="15" w:type="dxa"/>
          <w:right w:w="15" w:type="dxa"/>
        </w:tblCellMar>
        <w:tblLook w:val="04A0" w:firstRow="1" w:lastRow="0" w:firstColumn="1" w:lastColumn="0" w:noHBand="0" w:noVBand="1"/>
      </w:tblPr>
      <w:tblGrid>
        <w:gridCol w:w="9270"/>
        <w:gridCol w:w="8010"/>
      </w:tblGrid>
      <w:tr w:rsidR="009826EC" w14:paraId="14D19DD6" w14:textId="77777777" w:rsidTr="009826EC">
        <w:trPr>
          <w:tblHeader/>
        </w:trPr>
        <w:tc>
          <w:tcPr>
            <w:tcW w:w="0" w:type="auto"/>
            <w:tcBorders>
              <w:bottom w:val="single" w:sz="36" w:space="0" w:color="D1D2D4"/>
            </w:tcBorders>
            <w:tcMar>
              <w:top w:w="45" w:type="dxa"/>
              <w:left w:w="75" w:type="dxa"/>
              <w:bottom w:w="45" w:type="dxa"/>
              <w:right w:w="75" w:type="dxa"/>
            </w:tcMar>
            <w:hideMark/>
          </w:tcPr>
          <w:p w14:paraId="56840D75" w14:textId="77777777" w:rsidR="009826EC" w:rsidRDefault="009826EC">
            <w:pPr>
              <w:spacing w:before="240" w:after="240"/>
              <w:rPr>
                <w:b/>
                <w:bCs/>
                <w:color w:val="000000"/>
              </w:rPr>
            </w:pPr>
            <w:r>
              <w:rPr>
                <w:b/>
                <w:bCs/>
                <w:color w:val="000000"/>
              </w:rPr>
              <w:t>Search Warrant</w:t>
            </w:r>
          </w:p>
        </w:tc>
        <w:tc>
          <w:tcPr>
            <w:tcW w:w="0" w:type="auto"/>
            <w:tcBorders>
              <w:bottom w:val="single" w:sz="36" w:space="0" w:color="D1D2D4"/>
            </w:tcBorders>
            <w:tcMar>
              <w:top w:w="45" w:type="dxa"/>
              <w:left w:w="75" w:type="dxa"/>
              <w:bottom w:w="45" w:type="dxa"/>
              <w:right w:w="75" w:type="dxa"/>
            </w:tcMar>
            <w:hideMark/>
          </w:tcPr>
          <w:p w14:paraId="230513B4" w14:textId="77777777" w:rsidR="009826EC" w:rsidRDefault="009826EC">
            <w:pPr>
              <w:spacing w:before="240" w:after="240"/>
              <w:rPr>
                <w:b/>
                <w:bCs/>
                <w:color w:val="000000"/>
              </w:rPr>
            </w:pPr>
            <w:r>
              <w:rPr>
                <w:b/>
                <w:bCs/>
                <w:color w:val="000000"/>
              </w:rPr>
              <w:t>Arrest Warrant</w:t>
            </w:r>
          </w:p>
        </w:tc>
      </w:tr>
      <w:tr w:rsidR="009826EC" w14:paraId="786A39E7" w14:textId="77777777" w:rsidTr="009826EC">
        <w:tc>
          <w:tcPr>
            <w:tcW w:w="0" w:type="auto"/>
            <w:tcMar>
              <w:top w:w="45" w:type="dxa"/>
              <w:left w:w="75" w:type="dxa"/>
              <w:bottom w:w="45" w:type="dxa"/>
              <w:right w:w="75" w:type="dxa"/>
            </w:tcMar>
            <w:hideMark/>
          </w:tcPr>
          <w:p w14:paraId="48A0CC1F" w14:textId="77777777" w:rsidR="009826EC" w:rsidRDefault="009826EC">
            <w:pPr>
              <w:spacing w:before="240" w:after="240"/>
              <w:rPr>
                <w:color w:val="000000"/>
              </w:rPr>
            </w:pPr>
            <w:r>
              <w:rPr>
                <w:color w:val="000000"/>
              </w:rPr>
              <w:t>The officer looks for items to be used as evidence.</w:t>
            </w:r>
          </w:p>
        </w:tc>
        <w:tc>
          <w:tcPr>
            <w:tcW w:w="0" w:type="auto"/>
            <w:tcMar>
              <w:top w:w="45" w:type="dxa"/>
              <w:left w:w="75" w:type="dxa"/>
              <w:bottom w:w="45" w:type="dxa"/>
              <w:right w:w="75" w:type="dxa"/>
            </w:tcMar>
            <w:hideMark/>
          </w:tcPr>
          <w:p w14:paraId="5BC38FA3" w14:textId="77777777" w:rsidR="009826EC" w:rsidRDefault="009826EC">
            <w:pPr>
              <w:spacing w:before="240" w:after="240"/>
              <w:rPr>
                <w:color w:val="000000"/>
              </w:rPr>
            </w:pPr>
            <w:r>
              <w:rPr>
                <w:color w:val="000000"/>
              </w:rPr>
              <w:t>The officer seeks to arrest a suspect for detention.</w:t>
            </w:r>
          </w:p>
        </w:tc>
      </w:tr>
      <w:tr w:rsidR="009826EC" w14:paraId="288CAD78" w14:textId="77777777" w:rsidTr="009826EC">
        <w:tc>
          <w:tcPr>
            <w:tcW w:w="0" w:type="auto"/>
            <w:tcMar>
              <w:top w:w="45" w:type="dxa"/>
              <w:left w:w="75" w:type="dxa"/>
              <w:bottom w:w="45" w:type="dxa"/>
              <w:right w:w="75" w:type="dxa"/>
            </w:tcMar>
            <w:hideMark/>
          </w:tcPr>
          <w:p w14:paraId="1E3C3D05" w14:textId="77777777" w:rsidR="009826EC" w:rsidRDefault="009826EC">
            <w:pPr>
              <w:spacing w:before="240" w:after="240"/>
              <w:rPr>
                <w:color w:val="000000"/>
              </w:rPr>
            </w:pPr>
            <w:r>
              <w:rPr>
                <w:color w:val="000000"/>
              </w:rPr>
              <w:t xml:space="preserve">If not executed, a search warrant usually expires after </w:t>
            </w:r>
            <w:proofErr w:type="gramStart"/>
            <w:r>
              <w:rPr>
                <w:color w:val="000000"/>
              </w:rPr>
              <w:t>a period of time</w:t>
            </w:r>
            <w:proofErr w:type="gramEnd"/>
            <w:r>
              <w:rPr>
                <w:color w:val="000000"/>
              </w:rPr>
              <w:t xml:space="preserve"> specified by law.</w:t>
            </w:r>
          </w:p>
        </w:tc>
        <w:tc>
          <w:tcPr>
            <w:tcW w:w="0" w:type="auto"/>
            <w:tcMar>
              <w:top w:w="45" w:type="dxa"/>
              <w:left w:w="75" w:type="dxa"/>
              <w:bottom w:w="45" w:type="dxa"/>
              <w:right w:w="75" w:type="dxa"/>
            </w:tcMar>
            <w:hideMark/>
          </w:tcPr>
          <w:p w14:paraId="07FDA417" w14:textId="77777777" w:rsidR="009826EC" w:rsidRDefault="009826EC">
            <w:pPr>
              <w:spacing w:before="240" w:after="240"/>
              <w:rPr>
                <w:color w:val="000000"/>
              </w:rPr>
            </w:pPr>
            <w:r>
              <w:rPr>
                <w:color w:val="000000"/>
              </w:rPr>
              <w:t>An arrest warrant does not expire, unless recalled by the court that issued it.</w:t>
            </w:r>
          </w:p>
        </w:tc>
      </w:tr>
      <w:tr w:rsidR="009826EC" w14:paraId="187A934E" w14:textId="77777777" w:rsidTr="009826EC">
        <w:tc>
          <w:tcPr>
            <w:tcW w:w="0" w:type="auto"/>
            <w:tcMar>
              <w:top w:w="45" w:type="dxa"/>
              <w:left w:w="75" w:type="dxa"/>
              <w:bottom w:w="45" w:type="dxa"/>
              <w:right w:w="75" w:type="dxa"/>
            </w:tcMar>
            <w:hideMark/>
          </w:tcPr>
          <w:p w14:paraId="37E7A764" w14:textId="77777777" w:rsidR="009826EC" w:rsidRDefault="009826EC">
            <w:pPr>
              <w:spacing w:before="240" w:after="240"/>
              <w:rPr>
                <w:color w:val="000000"/>
              </w:rPr>
            </w:pPr>
            <w:r>
              <w:rPr>
                <w:color w:val="000000"/>
              </w:rPr>
              <w:t>Some jurisdictions limit the execution of the warrant to reasonable hours during the day.</w:t>
            </w:r>
          </w:p>
        </w:tc>
        <w:tc>
          <w:tcPr>
            <w:tcW w:w="0" w:type="auto"/>
            <w:tcMar>
              <w:top w:w="45" w:type="dxa"/>
              <w:left w:w="75" w:type="dxa"/>
              <w:bottom w:w="45" w:type="dxa"/>
              <w:right w:w="75" w:type="dxa"/>
            </w:tcMar>
            <w:hideMark/>
          </w:tcPr>
          <w:p w14:paraId="4D0D7627" w14:textId="77777777" w:rsidR="009826EC" w:rsidRDefault="009826EC">
            <w:pPr>
              <w:spacing w:before="240" w:after="240"/>
              <w:rPr>
                <w:color w:val="000000"/>
              </w:rPr>
            </w:pPr>
            <w:r>
              <w:rPr>
                <w:color w:val="000000"/>
              </w:rPr>
              <w:t xml:space="preserve">It may be executed at any </w:t>
            </w:r>
            <w:proofErr w:type="gramStart"/>
            <w:r>
              <w:rPr>
                <w:color w:val="000000"/>
              </w:rPr>
              <w:t>time, unless</w:t>
            </w:r>
            <w:proofErr w:type="gramEnd"/>
            <w:r>
              <w:rPr>
                <w:color w:val="000000"/>
              </w:rPr>
              <w:t xml:space="preserve"> exceptions are specified by law.</w:t>
            </w:r>
          </w:p>
        </w:tc>
      </w:tr>
    </w:tbl>
    <w:p w14:paraId="3171E8B6" w14:textId="77777777" w:rsidR="009826EC" w:rsidRDefault="00872E7F" w:rsidP="009826EC">
      <w:pPr>
        <w:pStyle w:val="Heading2"/>
        <w:shd w:val="clear" w:color="auto" w:fill="EDEEEE"/>
        <w:spacing w:before="240" w:beforeAutospacing="0" w:after="120" w:afterAutospacing="0"/>
        <w:rPr>
          <w:color w:val="000000"/>
          <w:sz w:val="31"/>
          <w:szCs w:val="31"/>
        </w:rPr>
      </w:pPr>
      <w:hyperlink r:id="rId86" w:anchor="toc-ch7-12" w:history="1">
        <w:r w:rsidR="009826EC">
          <w:rPr>
            <w:rStyle w:val="Hyperlink"/>
            <w:color w:val="000000"/>
            <w:sz w:val="31"/>
            <w:szCs w:val="31"/>
            <w:u w:val="none"/>
          </w:rPr>
          <w:t>SEARCH AND SEIZURE WITH A WARRANT</w:t>
        </w:r>
      </w:hyperlink>
    </w:p>
    <w:p w14:paraId="79F94BA1" w14:textId="77777777" w:rsidR="009826EC" w:rsidRDefault="009826EC" w:rsidP="009826EC">
      <w:pPr>
        <w:pStyle w:val="noindent"/>
        <w:spacing w:before="0" w:beforeAutospacing="0" w:after="0" w:afterAutospacing="0"/>
        <w:jc w:val="both"/>
        <w:rPr>
          <w:color w:val="000000"/>
        </w:rPr>
      </w:pPr>
      <w:r>
        <w:rPr>
          <w:color w:val="000000"/>
        </w:rPr>
        <w:t>A</w:t>
      </w:r>
      <w:r>
        <w:rPr>
          <w:rStyle w:val="apple-converted-space"/>
          <w:color w:val="000000"/>
        </w:rPr>
        <w:t> </w:t>
      </w:r>
      <w:hyperlink r:id="rId87" w:anchor="kt7-6" w:history="1">
        <w:r>
          <w:rPr>
            <w:rStyle w:val="Hyperlink"/>
            <w:b/>
            <w:bCs/>
            <w:color w:val="000000"/>
            <w:u w:val="none"/>
          </w:rPr>
          <w:t>search warrant</w:t>
        </w:r>
      </w:hyperlink>
      <w:r>
        <w:rPr>
          <w:rStyle w:val="apple-converted-space"/>
          <w:color w:val="000000"/>
        </w:rPr>
        <w:t> </w:t>
      </w:r>
      <w:r>
        <w:rPr>
          <w:color w:val="000000"/>
        </w:rPr>
        <w:t>is a written order, issued by a magistrate, directing a peace officer to search for property connected with a crime and bring it before the court (see</w:t>
      </w:r>
      <w:r>
        <w:rPr>
          <w:rStyle w:val="apple-converted-space"/>
          <w:color w:val="000000"/>
        </w:rPr>
        <w:t> </w:t>
      </w:r>
      <w:hyperlink r:id="rId88" w:anchor="figure7.1" w:history="1">
        <w:r>
          <w:rPr>
            <w:rStyle w:val="Hyperlink"/>
            <w:u w:val="none"/>
          </w:rPr>
          <w:t>Figure 7.1</w:t>
        </w:r>
      </w:hyperlink>
      <w:r>
        <w:rPr>
          <w:color w:val="000000"/>
        </w:rPr>
        <w:t>.) In nearly all states, the police officer seeking a search warrant must state the facts that establish probable cause in a written and signed affidavit. The general rule is that a search or seizure is valid under the Fourth Amendment only if made with a warrant. Searches without a warrant may be valid, but they are the exception rather than the rule.</w:t>
      </w:r>
    </w:p>
    <w:p w14:paraId="6BD7648F" w14:textId="77777777" w:rsidR="009826EC" w:rsidRDefault="009826EC" w:rsidP="009826EC">
      <w:pPr>
        <w:pStyle w:val="key"/>
        <w:shd w:val="clear" w:color="auto" w:fill="E7E7E8"/>
        <w:spacing w:before="48" w:beforeAutospacing="0" w:after="0" w:afterAutospacing="0"/>
        <w:jc w:val="both"/>
        <w:rPr>
          <w:color w:val="000000"/>
        </w:rPr>
      </w:pPr>
      <w:r>
        <w:rPr>
          <w:b/>
          <w:bCs/>
          <w:color w:val="000000"/>
        </w:rPr>
        <w:t>search warrant</w:t>
      </w:r>
      <w:r>
        <w:rPr>
          <w:color w:val="000000"/>
        </w:rPr>
        <w:br/>
        <w:t>a written order, issued by a magistrate, directing a peace officer to search for property connected with a crime and bring it before the court.</w:t>
      </w:r>
    </w:p>
    <w:p w14:paraId="4139B291" w14:textId="77777777" w:rsidR="009826EC" w:rsidRDefault="009826EC" w:rsidP="009826EC">
      <w:pPr>
        <w:pStyle w:val="indent"/>
        <w:spacing w:before="0" w:beforeAutospacing="0" w:after="0" w:afterAutospacing="0"/>
        <w:ind w:firstLine="360"/>
        <w:jc w:val="both"/>
        <w:rPr>
          <w:color w:val="000000"/>
        </w:rPr>
      </w:pPr>
      <w:r>
        <w:rPr>
          <w:color w:val="000000"/>
        </w:rPr>
        <w:t>This section looks at several issues related to search warrants, including the requirements for issuing them; the procedure for serving them; the knock-and-announce rule; the scope of search and seizure; the time allotted to conduct a search; and the procedure after the search. Last, the section compares search and arrest warrants.</w:t>
      </w:r>
    </w:p>
    <w:p w14:paraId="5D843ED0" w14:textId="77777777" w:rsidR="009826EC" w:rsidRDefault="00872E7F" w:rsidP="009826EC">
      <w:pPr>
        <w:pStyle w:val="Heading2"/>
        <w:shd w:val="clear" w:color="auto" w:fill="EDEEEE"/>
        <w:spacing w:before="240" w:beforeAutospacing="0" w:after="120" w:afterAutospacing="0"/>
        <w:rPr>
          <w:color w:val="000000"/>
          <w:sz w:val="31"/>
          <w:szCs w:val="31"/>
        </w:rPr>
      </w:pPr>
      <w:hyperlink r:id="rId89" w:anchor="toc-ch7-13" w:history="1">
        <w:r w:rsidR="009826EC">
          <w:rPr>
            <w:rStyle w:val="Hyperlink"/>
            <w:color w:val="000000"/>
            <w:sz w:val="31"/>
            <w:szCs w:val="31"/>
            <w:u w:val="none"/>
          </w:rPr>
          <w:t>FOUR REQUIREMENTS</w:t>
        </w:r>
      </w:hyperlink>
    </w:p>
    <w:p w14:paraId="356A9F1C" w14:textId="77777777" w:rsidR="009826EC" w:rsidRDefault="009826EC" w:rsidP="009826EC">
      <w:pPr>
        <w:pStyle w:val="noindent"/>
        <w:spacing w:before="0" w:beforeAutospacing="0" w:after="0" w:afterAutospacing="0"/>
        <w:jc w:val="both"/>
        <w:rPr>
          <w:color w:val="000000"/>
        </w:rPr>
      </w:pPr>
      <w:r>
        <w:rPr>
          <w:color w:val="000000"/>
        </w:rPr>
        <w:t>There are four requirements for a valid search warrant:</w:t>
      </w:r>
    </w:p>
    <w:p w14:paraId="5666BE13"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Probable cause</w:t>
      </w:r>
    </w:p>
    <w:p w14:paraId="3E96D4FD"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A supporting oath or affirmation</w:t>
      </w:r>
    </w:p>
    <w:p w14:paraId="3B75D1F1"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A description of the place to be searched and the things to be seized</w:t>
      </w:r>
    </w:p>
    <w:p w14:paraId="3203D0D6" w14:textId="77777777" w:rsidR="009826EC" w:rsidRDefault="009826EC" w:rsidP="009826EC">
      <w:pPr>
        <w:pStyle w:val="paralist3"/>
        <w:spacing w:before="0" w:beforeAutospacing="0" w:after="0" w:afterAutospacing="0"/>
        <w:jc w:val="both"/>
        <w:rPr>
          <w:color w:val="000000"/>
        </w:rPr>
      </w:pPr>
      <w:r>
        <w:rPr>
          <w:rStyle w:val="label"/>
          <w:color w:val="000000"/>
        </w:rPr>
        <w:t>♦</w:t>
      </w:r>
      <w:r>
        <w:rPr>
          <w:color w:val="000000"/>
        </w:rPr>
        <w:t>The signature of a magistrate</w:t>
      </w:r>
    </w:p>
    <w:p w14:paraId="576F63C1" w14:textId="77777777" w:rsidR="009826EC" w:rsidRDefault="00872E7F" w:rsidP="009826EC">
      <w:pPr>
        <w:pStyle w:val="Heading3"/>
        <w:spacing w:before="240" w:after="120"/>
        <w:rPr>
          <w:color w:val="000000"/>
          <w:sz w:val="29"/>
          <w:szCs w:val="29"/>
        </w:rPr>
      </w:pPr>
      <w:hyperlink r:id="rId90" w:anchor="toc-ch7-14" w:history="1">
        <w:r w:rsidR="009826EC">
          <w:rPr>
            <w:rStyle w:val="Hyperlink"/>
            <w:color w:val="000000"/>
            <w:sz w:val="29"/>
            <w:szCs w:val="29"/>
            <w:u w:val="none"/>
          </w:rPr>
          <w:t>Probable Cause</w:t>
        </w:r>
      </w:hyperlink>
    </w:p>
    <w:p w14:paraId="6752BDED" w14:textId="77777777" w:rsidR="009826EC" w:rsidRDefault="009826EC" w:rsidP="009826EC">
      <w:pPr>
        <w:pStyle w:val="noindent"/>
        <w:spacing w:before="0" w:beforeAutospacing="0" w:after="0" w:afterAutospacing="0"/>
        <w:jc w:val="both"/>
        <w:rPr>
          <w:color w:val="000000"/>
        </w:rPr>
      </w:pPr>
      <w:r>
        <w:rPr>
          <w:color w:val="000000"/>
        </w:rPr>
        <w:t>The conditions required to establish probable cause are discussed more extensively in</w:t>
      </w:r>
      <w:r>
        <w:rPr>
          <w:rStyle w:val="apple-converted-space"/>
          <w:color w:val="000000"/>
        </w:rPr>
        <w:t> </w:t>
      </w:r>
      <w:hyperlink r:id="rId91" w:anchor="ch3" w:history="1">
        <w:r>
          <w:rPr>
            <w:rStyle w:val="Hyperlink"/>
            <w:u w:val="none"/>
          </w:rPr>
          <w:t>Chapter 3</w:t>
        </w:r>
      </w:hyperlink>
      <w:r>
        <w:rPr>
          <w:color w:val="000000"/>
        </w:rPr>
        <w:t>. For our purposes here, it is sufficient to restate that probable cause is defined as more than mere suspicion; “it exists when the facts and circumstances within the officers' knowledge and of which they have reasonably trustworthy information are sufficient in themselves to warrant a person of reasonable caution in the belief that an offense has been or is being committed” (</w:t>
      </w:r>
      <w:proofErr w:type="spellStart"/>
      <w:r>
        <w:rPr>
          <w:rStyle w:val="Emphasis"/>
          <w:color w:val="000000"/>
        </w:rPr>
        <w:t>Brinegar</w:t>
      </w:r>
      <w:proofErr w:type="spellEnd"/>
      <w:r>
        <w:rPr>
          <w:rStyle w:val="Emphasis"/>
          <w:color w:val="000000"/>
        </w:rPr>
        <w:t xml:space="preserve"> v. United States</w:t>
      </w:r>
      <w:r>
        <w:rPr>
          <w:color w:val="000000"/>
        </w:rPr>
        <w:t>, 338 U.S. 160 [1949]).</w:t>
      </w:r>
    </w:p>
    <w:p w14:paraId="5A10612D" w14:textId="68906615" w:rsidR="009826EC" w:rsidRPr="009826EC" w:rsidRDefault="009826EC" w:rsidP="009826EC">
      <w:pPr>
        <w:rPr>
          <w:rFonts w:ascii="Times New Roman" w:eastAsia="Times New Roman" w:hAnsi="Times New Roman" w:cs="Times New Roman"/>
        </w:rPr>
      </w:pPr>
      <w:r w:rsidRPr="009826EC">
        <w:rPr>
          <w:rFonts w:ascii="Times New Roman" w:eastAsia="Times New Roman" w:hAnsi="Times New Roman" w:cs="Times New Roman"/>
        </w:rPr>
        <w:lastRenderedPageBreak/>
        <w:fldChar w:fldCharType="begin"/>
      </w:r>
      <w:r w:rsidRPr="009826EC">
        <w:rPr>
          <w:rFonts w:ascii="Times New Roman" w:eastAsia="Times New Roman" w:hAnsi="Times New Roman" w:cs="Times New Roman"/>
        </w:rPr>
        <w:instrText xml:space="preserve"> INCLUDEPICTURE "/var/folders/56/wnp8pdsd019fkrmvxtft5_b00000gn/T/com.microsoft.Word/WebArchiveCopyPasteTempFiles/ch7-page194-1.jpg" \* MERGEFORMATINET </w:instrText>
      </w:r>
      <w:r w:rsidRPr="009826EC">
        <w:rPr>
          <w:rFonts w:ascii="Times New Roman" w:eastAsia="Times New Roman" w:hAnsi="Times New Roman" w:cs="Times New Roman"/>
        </w:rPr>
        <w:fldChar w:fldCharType="separate"/>
      </w:r>
      <w:r w:rsidRPr="009826EC">
        <w:rPr>
          <w:rFonts w:ascii="Times New Roman" w:eastAsia="Times New Roman" w:hAnsi="Times New Roman" w:cs="Times New Roman"/>
          <w:noProof/>
        </w:rPr>
        <w:drawing>
          <wp:inline distT="0" distB="0" distL="0" distR="0" wp14:anchorId="68492B56" wp14:editId="049523F0">
            <wp:extent cx="5781675" cy="8229600"/>
            <wp:effectExtent l="0" t="0" r="0" b="0"/>
            <wp:docPr id="15" name="Picture 15" descr="Search War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arch Warrant"/>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81675" cy="8229600"/>
                    </a:xfrm>
                    <a:prstGeom prst="rect">
                      <a:avLst/>
                    </a:prstGeom>
                    <a:noFill/>
                    <a:ln>
                      <a:noFill/>
                    </a:ln>
                  </pic:spPr>
                </pic:pic>
              </a:graphicData>
            </a:graphic>
          </wp:inline>
        </w:drawing>
      </w:r>
      <w:r w:rsidRPr="009826EC">
        <w:rPr>
          <w:rFonts w:ascii="Times New Roman" w:eastAsia="Times New Roman" w:hAnsi="Times New Roman" w:cs="Times New Roman"/>
        </w:rPr>
        <w:fldChar w:fldCharType="end"/>
      </w:r>
    </w:p>
    <w:p w14:paraId="37B53266" w14:textId="77777777" w:rsidR="009826EC" w:rsidRDefault="009826EC" w:rsidP="009826EC">
      <w:pPr>
        <w:pStyle w:val="indent"/>
        <w:spacing w:before="0" w:beforeAutospacing="0" w:after="0" w:afterAutospacing="0"/>
        <w:ind w:firstLine="360"/>
        <w:jc w:val="both"/>
        <w:rPr>
          <w:color w:val="000000"/>
        </w:rPr>
      </w:pPr>
      <w:r>
        <w:rPr>
          <w:color w:val="000000"/>
        </w:rPr>
        <w:lastRenderedPageBreak/>
        <w:t xml:space="preserve">This definition is the same for arrests and for searches and seizures of things. The difference is that in arrests the focus is on: (1) whether a crime has been committed and (2) whether the person to be arrested committed the crime. By contrast, in searches and seizures of things, the issue of probable cause focuses on: (1) whether the property to be seized </w:t>
      </w:r>
      <w:proofErr w:type="gramStart"/>
      <w:r>
        <w:rPr>
          <w:color w:val="000000"/>
        </w:rPr>
        <w:t>is connected with</w:t>
      </w:r>
      <w:proofErr w:type="gramEnd"/>
      <w:r>
        <w:rPr>
          <w:color w:val="000000"/>
        </w:rPr>
        <w:t xml:space="preserve"> criminal activity and (2) whether it can be found in the place to be searched.</w:t>
      </w:r>
    </w:p>
    <w:p w14:paraId="3D5B4D45" w14:textId="77777777" w:rsidR="009826EC" w:rsidRDefault="00872E7F" w:rsidP="009826EC">
      <w:pPr>
        <w:pStyle w:val="Heading3"/>
        <w:spacing w:before="240" w:after="120"/>
        <w:rPr>
          <w:color w:val="000000"/>
          <w:sz w:val="29"/>
          <w:szCs w:val="29"/>
        </w:rPr>
      </w:pPr>
      <w:hyperlink r:id="rId93" w:anchor="toc-ch7-15" w:history="1">
        <w:r w:rsidR="009826EC">
          <w:rPr>
            <w:rStyle w:val="Hyperlink"/>
            <w:color w:val="000000"/>
            <w:sz w:val="29"/>
            <w:szCs w:val="29"/>
          </w:rPr>
          <w:t>A Supporting Oath or Affirmation</w:t>
        </w:r>
      </w:hyperlink>
    </w:p>
    <w:p w14:paraId="72B01E37" w14:textId="77777777" w:rsidR="009826EC" w:rsidRDefault="009826EC" w:rsidP="009826EC">
      <w:pPr>
        <w:pStyle w:val="noindent"/>
        <w:spacing w:before="0" w:beforeAutospacing="0" w:after="0" w:afterAutospacing="0"/>
        <w:jc w:val="both"/>
        <w:rPr>
          <w:color w:val="000000"/>
        </w:rPr>
      </w:pPr>
      <w:r>
        <w:rPr>
          <w:color w:val="000000"/>
        </w:rPr>
        <w:t xml:space="preserve">A search warrant is issued based on </w:t>
      </w:r>
      <w:proofErr w:type="gramStart"/>
      <w:r>
        <w:rPr>
          <w:color w:val="000000"/>
        </w:rPr>
        <w:t>a sworn affidavit</w:t>
      </w:r>
      <w:proofErr w:type="gramEnd"/>
      <w:r>
        <w:rPr>
          <w:color w:val="000000"/>
        </w:rPr>
        <w:t xml:space="preserve">, establishing grounds for the warrant, that is presented to the magistrate. The magistrate issues the warrant only if he or she is satisfied, based on the affidavit, that probable cause for a warrant exists. The contents of the affidavit must be sufficient to allow an independent evaluation of probable cause by the magistrate. To enable the magistrate to make an independent evaluation, the affidavit must contain more than mere conclusions by the police officer. It must allege facts showing that </w:t>
      </w:r>
      <w:proofErr w:type="spellStart"/>
      <w:r>
        <w:rPr>
          <w:color w:val="000000"/>
        </w:rPr>
        <w:t>seizable</w:t>
      </w:r>
      <w:proofErr w:type="spellEnd"/>
      <w:r>
        <w:rPr>
          <w:color w:val="000000"/>
        </w:rPr>
        <w:t xml:space="preserve"> evidence will be found in the place to be searched. The affidavit may be filed by the police officer or the offended or injured party.</w:t>
      </w:r>
    </w:p>
    <w:p w14:paraId="69840F20" w14:textId="77777777" w:rsidR="009826EC" w:rsidRDefault="009826EC" w:rsidP="009826EC">
      <w:pPr>
        <w:pStyle w:val="indent"/>
        <w:spacing w:before="0" w:beforeAutospacing="0" w:after="0" w:afterAutospacing="0"/>
        <w:ind w:firstLine="360"/>
        <w:jc w:val="both"/>
        <w:rPr>
          <w:color w:val="000000"/>
        </w:rPr>
      </w:pPr>
      <w:r>
        <w:rPr>
          <w:color w:val="000000"/>
        </w:rPr>
        <w:t>Supporting oaths and affirmations can be based on oral statements. Anticipatory warrants can be issued based on the expectation of the imminent arrival of contraband. However, supporting oaths must be based on recent information that helps establish probable cause before a warrant can be issued. We turn to each of these issues next.</w:t>
      </w:r>
    </w:p>
    <w:p w14:paraId="0A45353D" w14:textId="77777777" w:rsidR="009826EC" w:rsidRDefault="009826EC" w:rsidP="009826EC">
      <w:pPr>
        <w:pStyle w:val="noindent"/>
        <w:spacing w:before="240" w:beforeAutospacing="0" w:after="0" w:afterAutospacing="0"/>
        <w:jc w:val="both"/>
        <w:rPr>
          <w:color w:val="000000"/>
        </w:rPr>
      </w:pPr>
      <w:r>
        <w:rPr>
          <w:b/>
          <w:bCs/>
          <w:color w:val="000000"/>
        </w:rPr>
        <w:t>Warrants Based on Oral Statements</w:t>
      </w:r>
      <w:r>
        <w:rPr>
          <w:rStyle w:val="apple-converted-space"/>
          <w:color w:val="000000"/>
        </w:rPr>
        <w:t> </w:t>
      </w:r>
      <w:r>
        <w:rPr>
          <w:color w:val="000000"/>
        </w:rPr>
        <w:t>There is no constitutional requirement that a warrant application must be in writing. In some jurisdictions, a warrant may be issued based on an oral statement either in person or by telephone. The oral statement is usually recorded and becomes the basis for a probable cause determination. If probable cause is found, the judge or magistrate then prepares a search warrant.</w:t>
      </w:r>
    </w:p>
    <w:p w14:paraId="1C182D3E" w14:textId="77777777" w:rsidR="009826EC" w:rsidRDefault="009826EC" w:rsidP="009826EC">
      <w:pPr>
        <w:pStyle w:val="noindent"/>
        <w:spacing w:before="240" w:beforeAutospacing="0" w:after="0" w:afterAutospacing="0"/>
        <w:jc w:val="both"/>
        <w:rPr>
          <w:color w:val="000000"/>
        </w:rPr>
      </w:pPr>
      <w:r>
        <w:rPr>
          <w:b/>
          <w:bCs/>
          <w:color w:val="000000"/>
        </w:rPr>
        <w:t>Anticipatory Search Warrant</w:t>
      </w:r>
      <w:r>
        <w:rPr>
          <w:rStyle w:val="apple-converted-space"/>
          <w:color w:val="000000"/>
        </w:rPr>
        <w:t> </w:t>
      </w:r>
      <w:r>
        <w:rPr>
          <w:color w:val="000000"/>
        </w:rPr>
        <w:t>An</w:t>
      </w:r>
      <w:r>
        <w:rPr>
          <w:rStyle w:val="apple-converted-space"/>
          <w:color w:val="000000"/>
        </w:rPr>
        <w:t> </w:t>
      </w:r>
      <w:hyperlink r:id="rId94" w:anchor="kt7-7" w:history="1">
        <w:r>
          <w:rPr>
            <w:rStyle w:val="Hyperlink"/>
            <w:b/>
            <w:bCs/>
            <w:color w:val="000000"/>
          </w:rPr>
          <w:t>anticipatory search warrant</w:t>
        </w:r>
      </w:hyperlink>
      <w:r>
        <w:rPr>
          <w:rStyle w:val="apple-converted-space"/>
          <w:color w:val="000000"/>
        </w:rPr>
        <w:t> </w:t>
      </w:r>
      <w:r>
        <w:rPr>
          <w:color w:val="000000"/>
        </w:rPr>
        <w:t xml:space="preserve">is a warrant obtained based on probable cause and on an expectation that </w:t>
      </w:r>
      <w:proofErr w:type="spellStart"/>
      <w:r>
        <w:rPr>
          <w:color w:val="000000"/>
        </w:rPr>
        <w:t>seizable</w:t>
      </w:r>
      <w:proofErr w:type="spellEnd"/>
      <w:r>
        <w:rPr>
          <w:color w:val="000000"/>
        </w:rPr>
        <w:t xml:space="preserve"> items will be found at a certain place at a certain time. If the police probable cause to believe contraband or other evidence of a crime will arrive at a specific location at a particular time (or within a reasonable </w:t>
      </w:r>
      <w:proofErr w:type="gramStart"/>
      <w:r>
        <w:rPr>
          <w:color w:val="000000"/>
        </w:rPr>
        <w:t>period of time</w:t>
      </w:r>
      <w:proofErr w:type="gramEnd"/>
      <w:r>
        <w:rPr>
          <w:color w:val="000000"/>
        </w:rPr>
        <w:t>), they need not wait for the delivery to occur to seek a search warrant. Instead, the police may present their probable cause evidence to a magistrate and obtain an anticipatory search warrant based on probable cause that the evidence will be found at the location to be searched at the time the warrant is executed.</w:t>
      </w:r>
    </w:p>
    <w:p w14:paraId="668C7352" w14:textId="77777777" w:rsidR="009826EC" w:rsidRDefault="009826EC" w:rsidP="009826EC">
      <w:pPr>
        <w:pStyle w:val="key"/>
        <w:shd w:val="clear" w:color="auto" w:fill="E7E7E8"/>
        <w:spacing w:before="48" w:beforeAutospacing="0" w:after="0" w:afterAutospacing="0"/>
        <w:jc w:val="both"/>
        <w:rPr>
          <w:color w:val="000000"/>
        </w:rPr>
      </w:pPr>
      <w:r>
        <w:rPr>
          <w:b/>
          <w:bCs/>
          <w:color w:val="000000"/>
        </w:rPr>
        <w:t xml:space="preserve">anticipatory </w:t>
      </w:r>
      <w:proofErr w:type="gramStart"/>
      <w:r>
        <w:rPr>
          <w:b/>
          <w:bCs/>
          <w:color w:val="000000"/>
        </w:rPr>
        <w:t>search</w:t>
      </w:r>
      <w:proofErr w:type="gramEnd"/>
      <w:r>
        <w:rPr>
          <w:b/>
          <w:bCs/>
          <w:color w:val="000000"/>
        </w:rPr>
        <w:t xml:space="preserve"> warrant</w:t>
      </w:r>
      <w:r>
        <w:rPr>
          <w:color w:val="000000"/>
        </w:rPr>
        <w:br/>
        <w:t xml:space="preserve">a warrant obtained based on probable cause and on an expectation that </w:t>
      </w:r>
      <w:proofErr w:type="spellStart"/>
      <w:r>
        <w:rPr>
          <w:color w:val="000000"/>
        </w:rPr>
        <w:t>seizable</w:t>
      </w:r>
      <w:proofErr w:type="spellEnd"/>
      <w:r>
        <w:rPr>
          <w:color w:val="000000"/>
        </w:rPr>
        <w:t xml:space="preserve"> items will be found at a certain place.</w:t>
      </w:r>
    </w:p>
    <w:p w14:paraId="3530FBCA" w14:textId="6EE7E6E8" w:rsidR="009826EC" w:rsidRDefault="009826EC" w:rsidP="009826EC">
      <w:pPr>
        <w:rPr>
          <w:b/>
          <w:bCs/>
          <w:color w:val="000000"/>
          <w:sz w:val="26"/>
          <w:szCs w:val="26"/>
        </w:rPr>
      </w:pPr>
      <w:r>
        <w:rPr>
          <w:b/>
          <w:bCs/>
          <w:color w:val="000000"/>
          <w:sz w:val="26"/>
          <w:szCs w:val="26"/>
        </w:rPr>
        <w:fldChar w:fldCharType="begin"/>
      </w:r>
      <w:r>
        <w:rPr>
          <w:b/>
          <w:bCs/>
          <w:color w:val="000000"/>
          <w:sz w:val="26"/>
          <w:szCs w:val="26"/>
        </w:rPr>
        <w:instrText xml:space="preserve"> INCLUDEPICTURE "/var/folders/56/wnp8pdsd019fkrmvxtft5_b00000gn/T/com.microsoft.Word/WebArchiveCopyPasteTempFiles/highlight.jpg" \* MERGEFORMATINET </w:instrText>
      </w:r>
      <w:r>
        <w:rPr>
          <w:b/>
          <w:bCs/>
          <w:color w:val="000000"/>
          <w:sz w:val="26"/>
          <w:szCs w:val="26"/>
        </w:rPr>
        <w:fldChar w:fldCharType="separate"/>
      </w:r>
      <w:r>
        <w:rPr>
          <w:b/>
          <w:bCs/>
          <w:noProof/>
          <w:color w:val="000000"/>
          <w:sz w:val="26"/>
          <w:szCs w:val="26"/>
        </w:rPr>
        <w:drawing>
          <wp:inline distT="0" distB="0" distL="0" distR="0" wp14:anchorId="70703D4C" wp14:editId="7F760D44">
            <wp:extent cx="765175" cy="765175"/>
            <wp:effectExtent l="0" t="0" r="0" b="0"/>
            <wp:docPr id="17" name="Picture 17" descr="A picture containing gear, column, colonna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ear, column, colonnade&#10;&#10;Description automatically generate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65175" cy="765175"/>
                    </a:xfrm>
                    <a:prstGeom prst="rect">
                      <a:avLst/>
                    </a:prstGeom>
                    <a:noFill/>
                    <a:ln>
                      <a:noFill/>
                    </a:ln>
                  </pic:spPr>
                </pic:pic>
              </a:graphicData>
            </a:graphic>
          </wp:inline>
        </w:drawing>
      </w:r>
      <w:r>
        <w:rPr>
          <w:b/>
          <w:bCs/>
          <w:color w:val="000000"/>
          <w:sz w:val="26"/>
          <w:szCs w:val="26"/>
        </w:rPr>
        <w:fldChar w:fldCharType="end"/>
      </w:r>
      <w:r>
        <w:rPr>
          <w:b/>
          <w:bCs/>
          <w:color w:val="000000"/>
          <w:sz w:val="26"/>
          <w:szCs w:val="26"/>
        </w:rPr>
        <w:t> </w:t>
      </w:r>
      <w:r>
        <w:rPr>
          <w:b/>
          <w:bCs/>
          <w:color w:val="818285"/>
          <w:sz w:val="34"/>
          <w:szCs w:val="34"/>
        </w:rPr>
        <w:t>HIGHLIGHT</w:t>
      </w:r>
      <w:r>
        <w:rPr>
          <w:b/>
          <w:bCs/>
          <w:color w:val="000000"/>
          <w:sz w:val="26"/>
          <w:szCs w:val="26"/>
        </w:rPr>
        <w:t> </w:t>
      </w:r>
      <w:r>
        <w:rPr>
          <w:b/>
          <w:bCs/>
          <w:color w:val="000000"/>
          <w:sz w:val="26"/>
          <w:szCs w:val="26"/>
        </w:rPr>
        <w:fldChar w:fldCharType="begin"/>
      </w:r>
      <w:r>
        <w:rPr>
          <w:b/>
          <w:bCs/>
          <w:color w:val="000000"/>
          <w:sz w:val="26"/>
          <w:szCs w:val="26"/>
        </w:rPr>
        <w:instrText xml:space="preserve"> INCLUDEPICTURE "/var/folders/56/wnp8pdsd019fkrmvxtft5_b00000gn/T/com.microsoft.Word/WebArchiveCopyPasteTempFiles/bull1.jpg" \* MERGEFORMATINET </w:instrText>
      </w:r>
      <w:r>
        <w:rPr>
          <w:b/>
          <w:bCs/>
          <w:color w:val="000000"/>
          <w:sz w:val="26"/>
          <w:szCs w:val="26"/>
        </w:rPr>
        <w:fldChar w:fldCharType="separate"/>
      </w:r>
      <w:r>
        <w:rPr>
          <w:b/>
          <w:bCs/>
          <w:noProof/>
          <w:color w:val="000000"/>
          <w:sz w:val="26"/>
          <w:szCs w:val="26"/>
        </w:rPr>
        <w:drawing>
          <wp:inline distT="0" distB="0" distL="0" distR="0" wp14:anchorId="1CEC7E47" wp14:editId="07997599">
            <wp:extent cx="128905" cy="2584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8905" cy="258445"/>
                    </a:xfrm>
                    <a:prstGeom prst="rect">
                      <a:avLst/>
                    </a:prstGeom>
                    <a:noFill/>
                    <a:ln>
                      <a:noFill/>
                    </a:ln>
                  </pic:spPr>
                </pic:pic>
              </a:graphicData>
            </a:graphic>
          </wp:inline>
        </w:drawing>
      </w:r>
      <w:r>
        <w:rPr>
          <w:b/>
          <w:bCs/>
          <w:color w:val="000000"/>
          <w:sz w:val="26"/>
          <w:szCs w:val="26"/>
        </w:rPr>
        <w:fldChar w:fldCharType="end"/>
      </w:r>
      <w:r>
        <w:rPr>
          <w:b/>
          <w:bCs/>
          <w:color w:val="000000"/>
          <w:sz w:val="26"/>
          <w:szCs w:val="26"/>
        </w:rPr>
        <w:t> </w:t>
      </w:r>
      <w:r>
        <w:rPr>
          <w:b/>
          <w:bCs/>
          <w:color w:val="000000"/>
          <w:sz w:val="26"/>
          <w:szCs w:val="26"/>
        </w:rPr>
        <w:t>Definition of Probable Cause</w:t>
      </w:r>
    </w:p>
    <w:p w14:paraId="3338368C" w14:textId="77777777" w:rsidR="009826EC" w:rsidRDefault="009826EC" w:rsidP="009826EC">
      <w:pPr>
        <w:pStyle w:val="noindent"/>
        <w:spacing w:before="0" w:beforeAutospacing="0" w:after="0" w:afterAutospacing="0"/>
        <w:jc w:val="both"/>
        <w:rPr>
          <w:color w:val="000000"/>
        </w:rPr>
      </w:pPr>
      <w:r>
        <w:rPr>
          <w:color w:val="000000"/>
        </w:rPr>
        <w:t>Probable cause “exists when the facts and circumstances within the officers' knowledge and of which they have reasonably trustworthy information are sufficient in themselves to warrant a person of reasonable caution in the belief that an offense has been or is being committed.”</w:t>
      </w:r>
    </w:p>
    <w:p w14:paraId="0E915B40" w14:textId="77777777" w:rsidR="009826EC" w:rsidRDefault="009826EC" w:rsidP="009826EC">
      <w:pPr>
        <w:pStyle w:val="indent"/>
        <w:spacing w:before="0" w:beforeAutospacing="0" w:after="0" w:afterAutospacing="0"/>
        <w:ind w:firstLine="360"/>
        <w:jc w:val="both"/>
        <w:rPr>
          <w:color w:val="000000"/>
        </w:rPr>
      </w:pPr>
      <w:r>
        <w:rPr>
          <w:color w:val="000000"/>
        </w:rPr>
        <w:t>This is the same definition for searches and seizures of things and searches and seizures of persons (arrests).</w:t>
      </w:r>
    </w:p>
    <w:p w14:paraId="7966572D" w14:textId="77777777" w:rsidR="009826EC" w:rsidRDefault="009826EC" w:rsidP="009826EC">
      <w:pPr>
        <w:pStyle w:val="footnote1"/>
        <w:spacing w:before="120" w:beforeAutospacing="0" w:after="120" w:afterAutospacing="0"/>
        <w:jc w:val="both"/>
        <w:rPr>
          <w:color w:val="000000"/>
          <w:sz w:val="19"/>
          <w:szCs w:val="19"/>
        </w:rPr>
      </w:pPr>
      <w:r>
        <w:rPr>
          <w:color w:val="000000"/>
          <w:sz w:val="19"/>
          <w:szCs w:val="19"/>
        </w:rPr>
        <w:lastRenderedPageBreak/>
        <w:t>Source:</w:t>
      </w:r>
      <w:r>
        <w:rPr>
          <w:rStyle w:val="apple-converted-space"/>
          <w:color w:val="000000"/>
          <w:sz w:val="19"/>
          <w:szCs w:val="19"/>
        </w:rPr>
        <w:t> </w:t>
      </w:r>
      <w:proofErr w:type="spellStart"/>
      <w:r>
        <w:rPr>
          <w:rStyle w:val="Emphasis"/>
          <w:color w:val="000000"/>
          <w:sz w:val="19"/>
          <w:szCs w:val="19"/>
        </w:rPr>
        <w:t>Brinegar</w:t>
      </w:r>
      <w:proofErr w:type="spellEnd"/>
      <w:r>
        <w:rPr>
          <w:rStyle w:val="Emphasis"/>
          <w:color w:val="000000"/>
          <w:sz w:val="19"/>
          <w:szCs w:val="19"/>
        </w:rPr>
        <w:t xml:space="preserve"> v. United States</w:t>
      </w:r>
      <w:r>
        <w:rPr>
          <w:color w:val="000000"/>
          <w:sz w:val="19"/>
          <w:szCs w:val="19"/>
        </w:rPr>
        <w:t>, 338 U.S. 160 (1949).</w:t>
      </w:r>
    </w:p>
    <w:p w14:paraId="662B4AA3" w14:textId="77777777" w:rsidR="009826EC" w:rsidRDefault="009826EC" w:rsidP="009826EC">
      <w:pPr>
        <w:pStyle w:val="indent"/>
        <w:spacing w:before="0" w:beforeAutospacing="0" w:after="0" w:afterAutospacing="0"/>
        <w:ind w:firstLine="360"/>
        <w:jc w:val="both"/>
        <w:rPr>
          <w:color w:val="000000"/>
        </w:rPr>
      </w:pPr>
      <w:r>
        <w:rPr>
          <w:color w:val="000000"/>
        </w:rPr>
        <w:t>In a 2006 case,</w:t>
      </w:r>
      <w:r>
        <w:rPr>
          <w:rStyle w:val="apple-converted-space"/>
          <w:color w:val="000000"/>
        </w:rPr>
        <w:t> </w:t>
      </w:r>
      <w:r>
        <w:rPr>
          <w:rStyle w:val="Emphasis"/>
          <w:color w:val="000000"/>
        </w:rPr>
        <w:t>United States v. Grubbs</w:t>
      </w:r>
      <w:r>
        <w:rPr>
          <w:color w:val="000000"/>
        </w:rPr>
        <w:t>, 547 U.S. 90 (2006), the Court determined that anticipatory search warrants are valid. In this case, a judge issued an anticipatory search warrant for the Grubb's house based on a federal officer's affidavit, which explained that “the warrant would not be executed until a parcel containing a videotape of child pornography—which Grubbs had ordered from an undercover postal inspector—was received at, and physically taken into, the residence.” Grubbs was seized by the officers after the package was delivered. During his trial for receiving child pornography, Grubbs moved to suppress the evidence.</w:t>
      </w:r>
    </w:p>
    <w:p w14:paraId="25DB41A2" w14:textId="77777777" w:rsidR="009826EC" w:rsidRDefault="009826EC" w:rsidP="009826EC">
      <w:pPr>
        <w:pStyle w:val="indent"/>
        <w:spacing w:before="0" w:beforeAutospacing="0" w:after="0" w:afterAutospacing="0"/>
        <w:ind w:firstLine="360"/>
        <w:jc w:val="both"/>
        <w:rPr>
          <w:color w:val="000000"/>
        </w:rPr>
      </w:pPr>
      <w:r>
        <w:rPr>
          <w:color w:val="000000"/>
        </w:rPr>
        <w:t xml:space="preserve">On appeal, the Court rejected his arguments and said that “anticipatory warrants are not categorically unconstitutional under the Fourth Amendment's provision” </w:t>
      </w:r>
      <w:proofErr w:type="gramStart"/>
      <w:r>
        <w:rPr>
          <w:color w:val="000000"/>
        </w:rPr>
        <w:t>as long as</w:t>
      </w:r>
      <w:proofErr w:type="gramEnd"/>
      <w:r>
        <w:rPr>
          <w:color w:val="000000"/>
        </w:rPr>
        <w:t xml:space="preserve"> there is probable cause. The Court added that “when an anticipatory warrant is issued, the fact that the contraband is not presently at the place described is immaterial, so long as there is probable cause to believe it will be there when the warrant is executed.” Moreover, the Court added that “the particularity requirement does not necessitate specification of the triggering conditions within the warrant itself.”</w:t>
      </w:r>
    </w:p>
    <w:p w14:paraId="6771A556" w14:textId="77777777" w:rsidR="009826EC" w:rsidRDefault="009826EC" w:rsidP="009826EC">
      <w:pPr>
        <w:pStyle w:val="indent"/>
        <w:spacing w:before="0" w:beforeAutospacing="0" w:after="0" w:afterAutospacing="0"/>
        <w:ind w:firstLine="360"/>
        <w:jc w:val="both"/>
        <w:rPr>
          <w:color w:val="000000"/>
        </w:rPr>
      </w:pPr>
      <w:r>
        <w:rPr>
          <w:color w:val="000000"/>
        </w:rPr>
        <w:t>In an earlier case, the U.S. Court of Appeals for the First Circuit said that in issuing an anticipatory warrant, the conditions set by the magistrate must be “explicit, clear, and narrowly drawn so as to avoid misunderstanding or manipulation by government agents.” The court said that the issuing judge must narrow the discretion of government agents in two ways: (1) the event that triggered the warrant must be ascertainable and preordained, and (2) the item sought (in this case, contraband) must be on a sure and irreversible course to its destination (</w:t>
      </w:r>
      <w:r>
        <w:rPr>
          <w:rStyle w:val="Emphasis"/>
          <w:color w:val="000000"/>
        </w:rPr>
        <w:t xml:space="preserve">United States v. </w:t>
      </w:r>
      <w:proofErr w:type="spellStart"/>
      <w:r>
        <w:rPr>
          <w:rStyle w:val="Emphasis"/>
          <w:color w:val="000000"/>
        </w:rPr>
        <w:t>Ricciardelli</w:t>
      </w:r>
      <w:proofErr w:type="spellEnd"/>
      <w:r>
        <w:rPr>
          <w:color w:val="000000"/>
        </w:rPr>
        <w:t>, 998 F.2d 8 [1st Cir. 1993]).</w:t>
      </w:r>
    </w:p>
    <w:p w14:paraId="0DE0CB02" w14:textId="77777777" w:rsidR="009826EC" w:rsidRDefault="009826EC" w:rsidP="009826EC">
      <w:pPr>
        <w:pStyle w:val="noindent"/>
        <w:spacing w:before="0" w:beforeAutospacing="0" w:after="0" w:afterAutospacing="0"/>
        <w:jc w:val="both"/>
        <w:rPr>
          <w:color w:val="000000"/>
          <w:sz w:val="20"/>
          <w:szCs w:val="20"/>
        </w:rPr>
      </w:pPr>
      <w:r>
        <w:rPr>
          <w:rStyle w:val="Emphasis"/>
          <w:color w:val="000000"/>
          <w:sz w:val="20"/>
          <w:szCs w:val="20"/>
        </w:rPr>
        <w:t xml:space="preserve">United States v. </w:t>
      </w:r>
      <w:proofErr w:type="spellStart"/>
      <w:r>
        <w:rPr>
          <w:rStyle w:val="Emphasis"/>
          <w:color w:val="000000"/>
          <w:sz w:val="20"/>
          <w:szCs w:val="20"/>
        </w:rPr>
        <w:t>Ricciardelli</w:t>
      </w:r>
      <w:proofErr w:type="spellEnd"/>
      <w:r>
        <w:rPr>
          <w:rStyle w:val="apple-converted-space"/>
          <w:color w:val="000000"/>
          <w:sz w:val="20"/>
          <w:szCs w:val="20"/>
        </w:rPr>
        <w:t> </w:t>
      </w:r>
      <w:r>
        <w:rPr>
          <w:color w:val="000000"/>
          <w:sz w:val="20"/>
          <w:szCs w:val="20"/>
        </w:rPr>
        <w:t>(1993)</w:t>
      </w:r>
    </w:p>
    <w:p w14:paraId="03D8BB63" w14:textId="77777777" w:rsidR="009826EC" w:rsidRDefault="009826EC" w:rsidP="009826EC">
      <w:pPr>
        <w:pStyle w:val="noindent"/>
        <w:spacing w:before="240" w:beforeAutospacing="0" w:after="0" w:afterAutospacing="0"/>
        <w:jc w:val="both"/>
        <w:rPr>
          <w:color w:val="000000"/>
        </w:rPr>
      </w:pPr>
      <w:r>
        <w:rPr>
          <w:b/>
          <w:bCs/>
          <w:color w:val="000000"/>
        </w:rPr>
        <w:t>A Need for Fresh Information</w:t>
      </w:r>
      <w:r>
        <w:rPr>
          <w:rStyle w:val="apple-converted-space"/>
          <w:color w:val="000000"/>
        </w:rPr>
        <w:t> </w:t>
      </w:r>
      <w:r>
        <w:rPr>
          <w:color w:val="000000"/>
        </w:rPr>
        <w:t>To be valid, the warrant must be based on fresh information. If the information is “stale,” the warrant lacks probable cause and is invalid (</w:t>
      </w:r>
      <w:r>
        <w:rPr>
          <w:rStyle w:val="Emphasis"/>
          <w:color w:val="000000"/>
        </w:rPr>
        <w:t>United States v. Leon</w:t>
      </w:r>
      <w:r>
        <w:rPr>
          <w:color w:val="000000"/>
        </w:rPr>
        <w:t>, 468 U.S. 897 [1984]). In the</w:t>
      </w:r>
      <w:r>
        <w:rPr>
          <w:rStyle w:val="apple-converted-space"/>
          <w:color w:val="000000"/>
        </w:rPr>
        <w:t> </w:t>
      </w:r>
      <w:r>
        <w:rPr>
          <w:rStyle w:val="Emphasis"/>
          <w:color w:val="000000"/>
        </w:rPr>
        <w:t>Leon</w:t>
      </w:r>
      <w:r>
        <w:rPr>
          <w:rStyle w:val="apple-converted-space"/>
          <w:color w:val="000000"/>
        </w:rPr>
        <w:t> </w:t>
      </w:r>
      <w:r>
        <w:rPr>
          <w:color w:val="000000"/>
        </w:rPr>
        <w:t>case, the information contained in the affidavit was given by the police officer to the magistrate in September 1981. It was based partially on information the officer had obtained from a confidential informant in August 1981. The Court ruled that “to the extent that the affidavit set forth facts demonstrating the basis of the informant's knowledge of criminal activity, the information included was fatally stale.”</w:t>
      </w:r>
    </w:p>
    <w:p w14:paraId="2C996629" w14:textId="77777777" w:rsidR="009826EC" w:rsidRDefault="009826EC" w:rsidP="009826EC">
      <w:pPr>
        <w:pStyle w:val="noindent"/>
        <w:spacing w:before="0" w:beforeAutospacing="0" w:after="0" w:afterAutospacing="0"/>
        <w:jc w:val="both"/>
        <w:rPr>
          <w:color w:val="000000"/>
          <w:sz w:val="20"/>
          <w:szCs w:val="20"/>
        </w:rPr>
      </w:pPr>
      <w:r>
        <w:rPr>
          <w:rStyle w:val="Emphasis"/>
          <w:color w:val="000000"/>
          <w:sz w:val="20"/>
          <w:szCs w:val="20"/>
        </w:rPr>
        <w:t>United States v. Leon</w:t>
      </w:r>
      <w:r>
        <w:rPr>
          <w:rStyle w:val="apple-converted-space"/>
          <w:color w:val="000000"/>
          <w:sz w:val="20"/>
          <w:szCs w:val="20"/>
        </w:rPr>
        <w:t> </w:t>
      </w:r>
      <w:r>
        <w:rPr>
          <w:color w:val="000000"/>
          <w:sz w:val="20"/>
          <w:szCs w:val="20"/>
        </w:rPr>
        <w:t>(1984)</w:t>
      </w:r>
    </w:p>
    <w:p w14:paraId="13F0F848" w14:textId="77777777" w:rsidR="009826EC" w:rsidRDefault="009826EC" w:rsidP="009826EC">
      <w:pPr>
        <w:pStyle w:val="indent"/>
        <w:spacing w:before="0" w:beforeAutospacing="0" w:after="0" w:afterAutospacing="0"/>
        <w:ind w:firstLine="360"/>
        <w:jc w:val="both"/>
        <w:rPr>
          <w:color w:val="000000"/>
        </w:rPr>
      </w:pPr>
      <w:r>
        <w:rPr>
          <w:color w:val="000000"/>
        </w:rPr>
        <w:t>The reason for the fresh information rule is that conditions can change quickly, and an item found in one place at one time may not be there when the warrant is issued and executed. The Court has not specified exactly how much time must elapse before information becomes stale. It is safe to say, however, that the longer the delay, the greater the chance that the information will be considered stale by a reviewing court.</w:t>
      </w:r>
    </w:p>
    <w:p w14:paraId="1E719D47" w14:textId="77777777" w:rsidR="009826EC" w:rsidRDefault="009826EC" w:rsidP="009826EC"/>
    <w:p w14:paraId="6C7285AC" w14:textId="77777777" w:rsidR="009826EC" w:rsidRDefault="00872E7F" w:rsidP="009826EC">
      <w:pPr>
        <w:pStyle w:val="Heading3"/>
        <w:spacing w:before="240" w:after="120"/>
        <w:rPr>
          <w:color w:val="000000"/>
          <w:sz w:val="29"/>
          <w:szCs w:val="29"/>
        </w:rPr>
      </w:pPr>
      <w:hyperlink r:id="rId97" w:anchor="toc-ch7-16" w:history="1">
        <w:r w:rsidR="009826EC">
          <w:rPr>
            <w:rStyle w:val="Hyperlink"/>
            <w:color w:val="000000"/>
            <w:sz w:val="29"/>
            <w:szCs w:val="29"/>
            <w:u w:val="none"/>
          </w:rPr>
          <w:t>A Description of the Place to Be Searched and</w:t>
        </w:r>
        <w:r w:rsidR="009826EC">
          <w:rPr>
            <w:color w:val="000000"/>
            <w:sz w:val="29"/>
            <w:szCs w:val="29"/>
          </w:rPr>
          <w:br/>
        </w:r>
        <w:r w:rsidR="009826EC">
          <w:rPr>
            <w:rStyle w:val="Hyperlink"/>
            <w:color w:val="000000"/>
            <w:sz w:val="29"/>
            <w:szCs w:val="29"/>
            <w:u w:val="none"/>
          </w:rPr>
          <w:t>Persons or Things to Be Seized</w:t>
        </w:r>
      </w:hyperlink>
    </w:p>
    <w:p w14:paraId="007F0256" w14:textId="77777777" w:rsidR="009826EC" w:rsidRDefault="009826EC" w:rsidP="009826EC">
      <w:pPr>
        <w:pStyle w:val="noindent"/>
        <w:spacing w:before="0" w:beforeAutospacing="0" w:after="0" w:afterAutospacing="0"/>
        <w:jc w:val="both"/>
        <w:rPr>
          <w:color w:val="000000"/>
        </w:rPr>
      </w:pPr>
      <w:r>
        <w:rPr>
          <w:color w:val="000000"/>
        </w:rPr>
        <w:t>The affidavit must identify both the place that will be searched and the things that will be seized. This section addresses each of these requirements.</w:t>
      </w:r>
    </w:p>
    <w:p w14:paraId="2389519E" w14:textId="77777777" w:rsidR="009826EC" w:rsidRDefault="009826EC" w:rsidP="009826EC">
      <w:pPr>
        <w:pStyle w:val="noindent"/>
        <w:spacing w:before="240" w:beforeAutospacing="0" w:after="0" w:afterAutospacing="0"/>
        <w:jc w:val="both"/>
        <w:rPr>
          <w:color w:val="000000"/>
        </w:rPr>
      </w:pPr>
      <w:r>
        <w:rPr>
          <w:b/>
          <w:bCs/>
          <w:color w:val="000000"/>
        </w:rPr>
        <w:t>The Place to Be Searched</w:t>
      </w:r>
      <w:r>
        <w:rPr>
          <w:rStyle w:val="apple-converted-space"/>
          <w:color w:val="000000"/>
        </w:rPr>
        <w:t> </w:t>
      </w:r>
      <w:proofErr w:type="gramStart"/>
      <w:r>
        <w:rPr>
          <w:color w:val="000000"/>
        </w:rPr>
        <w:t>The</w:t>
      </w:r>
      <w:proofErr w:type="gramEnd"/>
      <w:r>
        <w:rPr>
          <w:color w:val="000000"/>
        </w:rPr>
        <w:t xml:space="preserve"> warrant must remove any doubt or uncertainty about which premises are to be searched. For example, if the location is an apartment in a multiple-unit building, </w:t>
      </w:r>
      <w:r>
        <w:rPr>
          <w:color w:val="000000"/>
        </w:rPr>
        <w:lastRenderedPageBreak/>
        <w:t>the warrant must specify which apartment is to be searched.</w:t>
      </w:r>
      <w:r>
        <w:rPr>
          <w:rStyle w:val="apple-converted-space"/>
          <w:color w:val="000000"/>
        </w:rPr>
        <w:t> </w:t>
      </w:r>
      <w:r>
        <w:rPr>
          <w:color w:val="000000"/>
        </w:rPr>
        <w:t>The address of the apartment building is not sufficient. An exact address prevents confusion and avoids intrusions on the privacy of innocent people.</w:t>
      </w:r>
    </w:p>
    <w:p w14:paraId="660CF2F6" w14:textId="77777777" w:rsidR="009826EC" w:rsidRDefault="009826EC" w:rsidP="009826EC">
      <w:pPr>
        <w:pStyle w:val="indent"/>
        <w:spacing w:before="0" w:beforeAutospacing="0" w:after="0" w:afterAutospacing="0"/>
        <w:ind w:firstLine="360"/>
        <w:jc w:val="both"/>
        <w:rPr>
          <w:color w:val="000000"/>
        </w:rPr>
      </w:pPr>
      <w:r>
        <w:rPr>
          <w:color w:val="000000"/>
        </w:rPr>
        <w:t xml:space="preserve">In one case, however, the Court held that the validity of a warrant must be judged </w:t>
      </w:r>
      <w:proofErr w:type="gramStart"/>
      <w:r>
        <w:rPr>
          <w:color w:val="000000"/>
        </w:rPr>
        <w:t>in light of</w:t>
      </w:r>
      <w:proofErr w:type="gramEnd"/>
      <w:r>
        <w:rPr>
          <w:color w:val="000000"/>
        </w:rPr>
        <w:t xml:space="preserve"> the “information available to the officers at the time they obtained the warrant” (</w:t>
      </w:r>
      <w:r>
        <w:rPr>
          <w:rStyle w:val="Emphasis"/>
          <w:color w:val="000000"/>
        </w:rPr>
        <w:t>Maryland v. Garrison</w:t>
      </w:r>
      <w:r>
        <w:rPr>
          <w:color w:val="000000"/>
        </w:rPr>
        <w:t xml:space="preserve">, 480 U.S. 79 [1987]). In this case, police officers obtained a warrant to search “the premises known as 2036 Park Avenue, third-floor apartment” for drugs and drug paraphernalia that supposedly belonged to a person named </w:t>
      </w:r>
      <w:proofErr w:type="spellStart"/>
      <w:r>
        <w:rPr>
          <w:color w:val="000000"/>
        </w:rPr>
        <w:t>McWebb</w:t>
      </w:r>
      <w:proofErr w:type="spellEnd"/>
      <w:r>
        <w:rPr>
          <w:color w:val="000000"/>
        </w:rPr>
        <w:t xml:space="preserve">. The police reasonably believed there was only one apartment at that location. In fact, there were two apartments on the third floor, one belonging to </w:t>
      </w:r>
      <w:proofErr w:type="spellStart"/>
      <w:r>
        <w:rPr>
          <w:color w:val="000000"/>
        </w:rPr>
        <w:t>McWebb</w:t>
      </w:r>
      <w:proofErr w:type="spellEnd"/>
      <w:r>
        <w:rPr>
          <w:color w:val="000000"/>
        </w:rPr>
        <w:t xml:space="preserve"> and the other belonging to Garrison. Before the officers became aware that they were in Garrison's apartment instead of </w:t>
      </w:r>
      <w:proofErr w:type="spellStart"/>
      <w:r>
        <w:rPr>
          <w:color w:val="000000"/>
        </w:rPr>
        <w:t>McWebb's</w:t>
      </w:r>
      <w:proofErr w:type="spellEnd"/>
      <w:r>
        <w:rPr>
          <w:color w:val="000000"/>
        </w:rPr>
        <w:t>, they searched the apartment and discovered drugs that provided the basis for Garrison's subsequent conviction.</w:t>
      </w:r>
    </w:p>
    <w:p w14:paraId="19D1C789" w14:textId="77777777" w:rsidR="009826EC" w:rsidRDefault="009826EC" w:rsidP="009826EC">
      <w:pPr>
        <w:pStyle w:val="noindent"/>
        <w:spacing w:before="0" w:beforeAutospacing="0" w:after="0" w:afterAutospacing="0"/>
        <w:jc w:val="both"/>
        <w:rPr>
          <w:color w:val="000000"/>
          <w:sz w:val="20"/>
          <w:szCs w:val="20"/>
        </w:rPr>
      </w:pPr>
      <w:r>
        <w:rPr>
          <w:rStyle w:val="Emphasis"/>
          <w:color w:val="000000"/>
          <w:sz w:val="20"/>
          <w:szCs w:val="20"/>
        </w:rPr>
        <w:t>Maryland v. Garrison</w:t>
      </w:r>
      <w:r>
        <w:rPr>
          <w:rStyle w:val="apple-converted-space"/>
          <w:color w:val="000000"/>
          <w:sz w:val="20"/>
          <w:szCs w:val="20"/>
        </w:rPr>
        <w:t> </w:t>
      </w:r>
      <w:r>
        <w:rPr>
          <w:color w:val="000000"/>
          <w:sz w:val="20"/>
          <w:szCs w:val="20"/>
        </w:rPr>
        <w:t>(1987)</w:t>
      </w:r>
    </w:p>
    <w:p w14:paraId="1FE08DD1" w14:textId="77777777" w:rsidR="009826EC" w:rsidRDefault="009826EC" w:rsidP="009826EC">
      <w:pPr>
        <w:pStyle w:val="indent"/>
        <w:spacing w:before="0" w:beforeAutospacing="0" w:after="0" w:afterAutospacing="0"/>
        <w:ind w:firstLine="360"/>
        <w:jc w:val="both"/>
        <w:rPr>
          <w:color w:val="000000"/>
        </w:rPr>
      </w:pPr>
      <w:r>
        <w:rPr>
          <w:color w:val="000000"/>
        </w:rPr>
        <w:t xml:space="preserve">Garrison sought exclusion of the evidence, saying that the search warrant was so unnecessarily broad that it allowed the search of the wrong apartment. The Supreme Court admitted the evidence, saying that the validity of a warrant must be judged </w:t>
      </w:r>
      <w:proofErr w:type="gramStart"/>
      <w:r>
        <w:rPr>
          <w:color w:val="000000"/>
        </w:rPr>
        <w:t>in light of</w:t>
      </w:r>
      <w:proofErr w:type="gramEnd"/>
      <w:r>
        <w:rPr>
          <w:color w:val="000000"/>
        </w:rPr>
        <w:t xml:space="preserve"> the information available to the officers when the warrant is sought. There was a reasonable effort on the part of the officers to ascertain and identify the place that was the target of the search; nonetheless, a mistake occurred.</w:t>
      </w:r>
    </w:p>
    <w:p w14:paraId="04AD4380" w14:textId="77777777" w:rsidR="009826EC" w:rsidRDefault="009826EC" w:rsidP="009826EC">
      <w:pPr>
        <w:pStyle w:val="indent"/>
        <w:spacing w:before="0" w:beforeAutospacing="0" w:after="0" w:afterAutospacing="0"/>
        <w:ind w:firstLine="360"/>
        <w:jc w:val="both"/>
        <w:rPr>
          <w:color w:val="000000"/>
        </w:rPr>
      </w:pPr>
      <w:r>
        <w:rPr>
          <w:rStyle w:val="Emphasis"/>
          <w:color w:val="000000"/>
        </w:rPr>
        <w:t>Garrison</w:t>
      </w:r>
      <w:r>
        <w:rPr>
          <w:rStyle w:val="apple-converted-space"/>
          <w:color w:val="000000"/>
        </w:rPr>
        <w:t> </w:t>
      </w:r>
      <w:r>
        <w:rPr>
          <w:color w:val="000000"/>
        </w:rPr>
        <w:t>should not be interpreted as validating all search warrants where there is a mistake made in the description of the place to be searched. The test of the validity of search warrants that are “ambiguous in scope” appears to be “whether the officers' failure to realize the overbreadth of the warrant was objectively understandable and reasonable.” Therefore, a warrant that is overly broad in describing the place to be searched is not in violation of the Fourth Amendment</w:t>
      </w:r>
      <w:r>
        <w:rPr>
          <w:rStyle w:val="apple-converted-space"/>
          <w:color w:val="000000"/>
        </w:rPr>
        <w:t> </w:t>
      </w:r>
      <w:r>
        <w:rPr>
          <w:rStyle w:val="Emphasis"/>
          <w:color w:val="000000"/>
        </w:rPr>
        <w:t>if it was based on a reasonable but mistaken belief</w:t>
      </w:r>
      <w:r>
        <w:rPr>
          <w:rStyle w:val="apple-converted-space"/>
          <w:color w:val="000000"/>
        </w:rPr>
        <w:t> </w:t>
      </w:r>
      <w:r>
        <w:rPr>
          <w:color w:val="000000"/>
        </w:rPr>
        <w:t>at the time the warrant was issued.</w:t>
      </w:r>
    </w:p>
    <w:p w14:paraId="06033E4D" w14:textId="77777777" w:rsidR="009826EC" w:rsidRDefault="009826EC" w:rsidP="009826EC">
      <w:pPr>
        <w:pStyle w:val="noindent"/>
        <w:spacing w:before="240" w:beforeAutospacing="0" w:after="0" w:afterAutospacing="0"/>
        <w:jc w:val="both"/>
        <w:rPr>
          <w:color w:val="000000"/>
        </w:rPr>
      </w:pPr>
      <w:r>
        <w:rPr>
          <w:b/>
          <w:bCs/>
          <w:color w:val="000000"/>
        </w:rPr>
        <w:t>The Things to Be Seized</w:t>
      </w:r>
      <w:r>
        <w:rPr>
          <w:rStyle w:val="apple-converted-space"/>
          <w:color w:val="000000"/>
        </w:rPr>
        <w:t> </w:t>
      </w:r>
      <w:r>
        <w:rPr>
          <w:color w:val="000000"/>
        </w:rPr>
        <w:t>Things to be seized must also be described in detail sufficient to narrow the discretion officers can exercise over what may be seized (see</w:t>
      </w:r>
      <w:r>
        <w:rPr>
          <w:rStyle w:val="apple-converted-space"/>
          <w:color w:val="000000"/>
        </w:rPr>
        <w:t> </w:t>
      </w:r>
      <w:hyperlink r:id="rId98" w:anchor="exhibit7.1" w:history="1">
        <w:r>
          <w:rPr>
            <w:rStyle w:val="Hyperlink"/>
            <w:u w:val="none"/>
          </w:rPr>
          <w:t>Exhibit 7.1</w:t>
        </w:r>
      </w:hyperlink>
      <w:r>
        <w:rPr>
          <w:color w:val="000000"/>
        </w:rPr>
        <w:t xml:space="preserve">). For example, the warrant cannot simply provide for the seizure of “stolen goods,” because this language is too general and can lead to a fishing expedition. An acceptable identification would be “a 60-inch high-definition television.” Contraband, however, does not have to be described with as much particularity, because it is </w:t>
      </w:r>
      <w:proofErr w:type="gramStart"/>
      <w:r>
        <w:rPr>
          <w:color w:val="000000"/>
        </w:rPr>
        <w:t xml:space="preserve">in itself </w:t>
      </w:r>
      <w:proofErr w:type="spellStart"/>
      <w:r>
        <w:rPr>
          <w:color w:val="000000"/>
        </w:rPr>
        <w:t>seizable</w:t>
      </w:r>
      <w:proofErr w:type="spellEnd"/>
      <w:proofErr w:type="gramEnd"/>
      <w:r>
        <w:rPr>
          <w:color w:val="000000"/>
        </w:rPr>
        <w:t xml:space="preserve">. </w:t>
      </w:r>
      <w:proofErr w:type="gramStart"/>
      <w:r>
        <w:rPr>
          <w:color w:val="000000"/>
        </w:rPr>
        <w:t>So</w:t>
      </w:r>
      <w:proofErr w:type="gramEnd"/>
      <w:r>
        <w:rPr>
          <w:color w:val="000000"/>
        </w:rPr>
        <w:t xml:space="preserve"> the words</w:t>
      </w:r>
      <w:r>
        <w:rPr>
          <w:rStyle w:val="apple-converted-space"/>
          <w:color w:val="000000"/>
        </w:rPr>
        <w:t> </w:t>
      </w:r>
      <w:r>
        <w:rPr>
          <w:rStyle w:val="Emphasis"/>
          <w:color w:val="000000"/>
        </w:rPr>
        <w:t>cocaine</w:t>
      </w:r>
      <w:r>
        <w:rPr>
          <w:rStyle w:val="apple-converted-space"/>
          <w:color w:val="000000"/>
        </w:rPr>
        <w:t> </w:t>
      </w:r>
      <w:r>
        <w:rPr>
          <w:color w:val="000000"/>
        </w:rPr>
        <w:t>or</w:t>
      </w:r>
      <w:r>
        <w:rPr>
          <w:rStyle w:val="apple-converted-space"/>
          <w:color w:val="000000"/>
        </w:rPr>
        <w:t> </w:t>
      </w:r>
      <w:r>
        <w:rPr>
          <w:rStyle w:val="Emphasis"/>
          <w:color w:val="000000"/>
        </w:rPr>
        <w:t>heroin</w:t>
      </w:r>
      <w:r>
        <w:rPr>
          <w:rStyle w:val="apple-converted-space"/>
          <w:color w:val="000000"/>
        </w:rPr>
        <w:t> </w:t>
      </w:r>
      <w:r>
        <w:rPr>
          <w:color w:val="000000"/>
        </w:rPr>
        <w:t>would suffice, as would</w:t>
      </w:r>
      <w:r>
        <w:rPr>
          <w:rStyle w:val="apple-converted-space"/>
          <w:color w:val="000000"/>
        </w:rPr>
        <w:t> </w:t>
      </w:r>
      <w:r>
        <w:rPr>
          <w:rStyle w:val="Emphasis"/>
          <w:color w:val="000000"/>
        </w:rPr>
        <w:t>drug paraphernalia</w:t>
      </w:r>
      <w:r>
        <w:rPr>
          <w:color w:val="000000"/>
        </w:rPr>
        <w:t>.</w:t>
      </w:r>
    </w:p>
    <w:p w14:paraId="4579B74F" w14:textId="77777777" w:rsidR="009826EC" w:rsidRDefault="009826EC" w:rsidP="009826EC">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Groh v. Ramirez et al.</w:t>
      </w:r>
      <w:r>
        <w:rPr>
          <w:color w:val="000000"/>
        </w:rPr>
        <w:t>, 540 U.S. 551 (2004), the Court held that a search warrant that does not comply with the requirement that the warrant particularly describe the person or things to be seized is unconstitutional. In this case, Groh, an agent of the Bureau of Alcohol, Tobacco, and Firearms (ATF), prepared an application for a search warrant based on information that weapons and explosives were located on Ramirez's farm. The application was supported by a detailed affidavit listing the items to be seized and describing the basis for the agent's belief that the items were concealed on the property. Groh presented these documents, along with a warrant form he also completed, to a magistrate. The magistrate signed the warrant form. Although the application and affidavit described the contraband to be discovered, the form only indicated that the place to be searched was Ramirez's home. It did not incorporate any reference to the itemized list contained in the warrant application or affidavit. The day after the magistrate signed the warrant, officers searched Ramirez's home but found no illegal weapons or explosives. Groh left a copy of the</w:t>
      </w:r>
      <w:r>
        <w:rPr>
          <w:rStyle w:val="apple-converted-space"/>
          <w:color w:val="000000"/>
        </w:rPr>
        <w:t> </w:t>
      </w:r>
      <w:r>
        <w:rPr>
          <w:color w:val="000000"/>
        </w:rPr>
        <w:t xml:space="preserve">warrant at the home but did not leave a copy of the warrant application. The following day, in response to a request from Ramirez's attorney, Groh faxed a copy of the application. No charges </w:t>
      </w:r>
      <w:r>
        <w:rPr>
          <w:color w:val="000000"/>
        </w:rPr>
        <w:lastRenderedPageBreak/>
        <w:t>were filed against Ramirez, but Ramirez later filed suit for damages, claiming his Fourth Amendment rights were violated by the nonspecific warrant.</w:t>
      </w:r>
    </w:p>
    <w:p w14:paraId="5F907AA2" w14:textId="6AFFA352" w:rsidR="009826EC" w:rsidRDefault="009826EC" w:rsidP="009826EC"/>
    <w:p w14:paraId="6C29778C" w14:textId="77777777" w:rsidR="00AC7260" w:rsidRDefault="00AC7260" w:rsidP="009826EC"/>
    <w:p w14:paraId="6986BAC5" w14:textId="77777777" w:rsidR="00AC7260" w:rsidRPr="00AC7260" w:rsidRDefault="00AC7260" w:rsidP="00AC7260">
      <w:pPr>
        <w:shd w:val="clear" w:color="auto" w:fill="D1D2D4"/>
        <w:rPr>
          <w:rFonts w:ascii="Times New Roman" w:eastAsia="Times New Roman" w:hAnsi="Times New Roman" w:cs="Times New Roman"/>
          <w:b/>
          <w:bCs/>
          <w:color w:val="000000"/>
          <w:sz w:val="29"/>
          <w:szCs w:val="29"/>
        </w:rPr>
      </w:pPr>
      <w:r w:rsidRPr="00AC7260">
        <w:rPr>
          <w:rFonts w:ascii="Times New Roman" w:eastAsia="Times New Roman" w:hAnsi="Times New Roman" w:cs="Times New Roman"/>
          <w:b/>
          <w:bCs/>
          <w:color w:val="000000"/>
          <w:sz w:val="29"/>
          <w:szCs w:val="29"/>
        </w:rPr>
        <w:t> </w:t>
      </w:r>
      <w:r w:rsidRPr="00AC7260">
        <w:rPr>
          <w:rFonts w:ascii="Times New Roman" w:eastAsia="Times New Roman" w:hAnsi="Times New Roman" w:cs="Times New Roman"/>
          <w:b/>
          <w:bCs/>
          <w:color w:val="000000"/>
          <w:sz w:val="29"/>
          <w:szCs w:val="29"/>
        </w:rPr>
        <w:t>Exhibit 7.1</w:t>
      </w:r>
      <w:r w:rsidRPr="00AC7260">
        <w:rPr>
          <w:rFonts w:ascii="Times New Roman" w:eastAsia="Times New Roman" w:hAnsi="Times New Roman" w:cs="Times New Roman"/>
          <w:b/>
          <w:bCs/>
          <w:color w:val="000000"/>
          <w:sz w:val="29"/>
          <w:szCs w:val="29"/>
        </w:rPr>
        <w:t> </w:t>
      </w:r>
      <w:r w:rsidRPr="00AC7260">
        <w:rPr>
          <w:rFonts w:ascii="Times New Roman" w:eastAsia="Times New Roman" w:hAnsi="Times New Roman" w:cs="Times New Roman"/>
          <w:b/>
          <w:bCs/>
          <w:color w:val="FFFFFF"/>
          <w:sz w:val="29"/>
          <w:szCs w:val="29"/>
        </w:rPr>
        <w:t>•</w:t>
      </w:r>
      <w:r w:rsidRPr="00AC7260">
        <w:rPr>
          <w:rFonts w:ascii="Times New Roman" w:eastAsia="Times New Roman" w:hAnsi="Times New Roman" w:cs="Times New Roman"/>
          <w:b/>
          <w:bCs/>
          <w:color w:val="000000"/>
          <w:sz w:val="29"/>
          <w:szCs w:val="29"/>
        </w:rPr>
        <w:t> </w:t>
      </w:r>
      <w:r w:rsidRPr="00AC7260">
        <w:rPr>
          <w:rFonts w:ascii="Times New Roman" w:eastAsia="Times New Roman" w:hAnsi="Times New Roman" w:cs="Times New Roman"/>
          <w:b/>
          <w:bCs/>
          <w:color w:val="000000"/>
          <w:sz w:val="29"/>
          <w:szCs w:val="29"/>
        </w:rPr>
        <w:t>An Example of a State Code Listing Specific Items Police Can Search and Seize</w:t>
      </w:r>
    </w:p>
    <w:p w14:paraId="70B7F6CC"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shd w:val="clear" w:color="auto" w:fill="E7E7E8"/>
        </w:rPr>
        <w:t>Art. 18.02. Ground for issuance.</w:t>
      </w:r>
    </w:p>
    <w:p w14:paraId="5C83EB24" w14:textId="77777777" w:rsidR="00AC7260" w:rsidRPr="00AC7260" w:rsidRDefault="00AC7260" w:rsidP="00AC7260">
      <w:pPr>
        <w:spacing w:before="240" w:after="48"/>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A search warrant may be issued to search for and seize:</w:t>
      </w:r>
    </w:p>
    <w:p w14:paraId="4BE0A7CF"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1)property</w:t>
      </w:r>
      <w:proofErr w:type="gramEnd"/>
      <w:r w:rsidRPr="00AC7260">
        <w:rPr>
          <w:rFonts w:ascii="Times New Roman" w:eastAsia="Times New Roman" w:hAnsi="Times New Roman" w:cs="Times New Roman"/>
          <w:color w:val="000000"/>
        </w:rPr>
        <w:t xml:space="preserve"> acquired by theft or in any other manner which makes its acquisition a penal offense;</w:t>
      </w:r>
    </w:p>
    <w:p w14:paraId="049280FA"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2)property</w:t>
      </w:r>
      <w:proofErr w:type="gramEnd"/>
      <w:r w:rsidRPr="00AC7260">
        <w:rPr>
          <w:rFonts w:ascii="Times New Roman" w:eastAsia="Times New Roman" w:hAnsi="Times New Roman" w:cs="Times New Roman"/>
          <w:color w:val="000000"/>
        </w:rPr>
        <w:t xml:space="preserve"> specially designed, made, or adapted for or commonly used in the commission of an offense;</w:t>
      </w:r>
    </w:p>
    <w:p w14:paraId="036AA2F5"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3)arms</w:t>
      </w:r>
      <w:proofErr w:type="gramEnd"/>
      <w:r w:rsidRPr="00AC7260">
        <w:rPr>
          <w:rFonts w:ascii="Times New Roman" w:eastAsia="Times New Roman" w:hAnsi="Times New Roman" w:cs="Times New Roman"/>
          <w:color w:val="000000"/>
        </w:rPr>
        <w:t xml:space="preserve"> and munitions kept or prepared for the purposes of insurrection or riot;</w:t>
      </w:r>
    </w:p>
    <w:p w14:paraId="2CFA43F5"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4)weapons</w:t>
      </w:r>
      <w:proofErr w:type="gramEnd"/>
      <w:r w:rsidRPr="00AC7260">
        <w:rPr>
          <w:rFonts w:ascii="Times New Roman" w:eastAsia="Times New Roman" w:hAnsi="Times New Roman" w:cs="Times New Roman"/>
          <w:color w:val="000000"/>
        </w:rPr>
        <w:t xml:space="preserve"> prohibited by the Penal Code;</w:t>
      </w:r>
    </w:p>
    <w:p w14:paraId="180DD543"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5)gambling</w:t>
      </w:r>
      <w:proofErr w:type="gramEnd"/>
      <w:r w:rsidRPr="00AC7260">
        <w:rPr>
          <w:rFonts w:ascii="Times New Roman" w:eastAsia="Times New Roman" w:hAnsi="Times New Roman" w:cs="Times New Roman"/>
          <w:color w:val="000000"/>
        </w:rPr>
        <w:t xml:space="preserve"> devices or equipment, altered gambling equipment, or gambling paraphernalia;</w:t>
      </w:r>
    </w:p>
    <w:p w14:paraId="65BB3B36"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6)obscene</w:t>
      </w:r>
      <w:proofErr w:type="gramEnd"/>
      <w:r w:rsidRPr="00AC7260">
        <w:rPr>
          <w:rFonts w:ascii="Times New Roman" w:eastAsia="Times New Roman" w:hAnsi="Times New Roman" w:cs="Times New Roman"/>
          <w:color w:val="000000"/>
        </w:rPr>
        <w:t xml:space="preserve"> materials kept or prepared for commercial distribution or exhibition, subject to the additional rules set forth by law;</w:t>
      </w:r>
    </w:p>
    <w:p w14:paraId="5ADB7895"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7)drugs</w:t>
      </w:r>
      <w:proofErr w:type="gramEnd"/>
      <w:r w:rsidRPr="00AC7260">
        <w:rPr>
          <w:rFonts w:ascii="Times New Roman" w:eastAsia="Times New Roman" w:hAnsi="Times New Roman" w:cs="Times New Roman"/>
          <w:color w:val="000000"/>
        </w:rPr>
        <w:t xml:space="preserve"> kept, prepared, or manufactured in violation of the laws of this state;</w:t>
      </w:r>
    </w:p>
    <w:p w14:paraId="30ADD089"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8)any</w:t>
      </w:r>
      <w:proofErr w:type="gramEnd"/>
      <w:r w:rsidRPr="00AC7260">
        <w:rPr>
          <w:rFonts w:ascii="Times New Roman" w:eastAsia="Times New Roman" w:hAnsi="Times New Roman" w:cs="Times New Roman"/>
          <w:color w:val="000000"/>
        </w:rPr>
        <w:t xml:space="preserve"> property the possession of which is prohibited by law;</w:t>
      </w:r>
    </w:p>
    <w:p w14:paraId="1725DA89"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9)implements</w:t>
      </w:r>
      <w:proofErr w:type="gramEnd"/>
      <w:r w:rsidRPr="00AC7260">
        <w:rPr>
          <w:rFonts w:ascii="Times New Roman" w:eastAsia="Times New Roman" w:hAnsi="Times New Roman" w:cs="Times New Roman"/>
          <w:color w:val="000000"/>
        </w:rPr>
        <w:t xml:space="preserve"> or instruments used in the commission of a crime;</w:t>
      </w:r>
    </w:p>
    <w:p w14:paraId="223D672E"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10)property</w:t>
      </w:r>
      <w:proofErr w:type="gramEnd"/>
      <w:r w:rsidRPr="00AC7260">
        <w:rPr>
          <w:rFonts w:ascii="Times New Roman" w:eastAsia="Times New Roman" w:hAnsi="Times New Roman" w:cs="Times New Roman"/>
          <w:color w:val="000000"/>
        </w:rPr>
        <w:t xml:space="preserve"> or items, except the personal writings by the accused, constituting evidence of an offense or constituting evidence tending to show that a particular person committed an offense;</w:t>
      </w:r>
    </w:p>
    <w:p w14:paraId="28AC0609"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11)persons</w:t>
      </w:r>
      <w:proofErr w:type="gramEnd"/>
      <w:r w:rsidRPr="00AC7260">
        <w:rPr>
          <w:rFonts w:ascii="Times New Roman" w:eastAsia="Times New Roman" w:hAnsi="Times New Roman" w:cs="Times New Roman"/>
          <w:color w:val="000000"/>
        </w:rPr>
        <w:t>; or</w:t>
      </w:r>
    </w:p>
    <w:p w14:paraId="6A705531" w14:textId="77777777" w:rsidR="00AC7260" w:rsidRPr="00AC7260" w:rsidRDefault="00AC7260" w:rsidP="00AC7260">
      <w:pPr>
        <w:ind w:left="576"/>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w:t>
      </w:r>
      <w:proofErr w:type="gramStart"/>
      <w:r w:rsidRPr="00AC7260">
        <w:rPr>
          <w:rFonts w:ascii="Times New Roman" w:eastAsia="Times New Roman" w:hAnsi="Times New Roman" w:cs="Times New Roman"/>
          <w:color w:val="000000"/>
        </w:rPr>
        <w:t>12)contraband</w:t>
      </w:r>
      <w:proofErr w:type="gramEnd"/>
      <w:r w:rsidRPr="00AC7260">
        <w:rPr>
          <w:rFonts w:ascii="Times New Roman" w:eastAsia="Times New Roman" w:hAnsi="Times New Roman" w:cs="Times New Roman"/>
          <w:color w:val="000000"/>
        </w:rPr>
        <w:t xml:space="preserve"> subject to forfeiture under Chapter 59 of this code.</w:t>
      </w:r>
    </w:p>
    <w:p w14:paraId="72813567" w14:textId="77777777" w:rsidR="00AC7260" w:rsidRPr="00AC7260" w:rsidRDefault="00AC7260" w:rsidP="00AC7260">
      <w:pPr>
        <w:spacing w:before="120" w:after="120"/>
        <w:jc w:val="both"/>
        <w:rPr>
          <w:rFonts w:ascii="Times New Roman" w:eastAsia="Times New Roman" w:hAnsi="Times New Roman" w:cs="Times New Roman"/>
          <w:color w:val="000000"/>
          <w:sz w:val="19"/>
          <w:szCs w:val="19"/>
        </w:rPr>
      </w:pPr>
      <w:r w:rsidRPr="00AC7260">
        <w:rPr>
          <w:rFonts w:ascii="Times New Roman" w:eastAsia="Times New Roman" w:hAnsi="Times New Roman" w:cs="Times New Roman"/>
          <w:color w:val="000000"/>
          <w:sz w:val="19"/>
          <w:szCs w:val="19"/>
        </w:rPr>
        <w:t>Source: Texas Code of Criminal Procedure, 2009–2010, LexisNexis Publication.</w:t>
      </w:r>
    </w:p>
    <w:p w14:paraId="10F8E6E2" w14:textId="61EAB33E" w:rsidR="009826EC" w:rsidRDefault="009826EC" w:rsidP="009826EC"/>
    <w:p w14:paraId="03EB3110" w14:textId="70C5D6A0" w:rsidR="00AC7260" w:rsidRDefault="00AC7260" w:rsidP="009826EC"/>
    <w:p w14:paraId="4396D5D3" w14:textId="77777777" w:rsidR="00AC7260" w:rsidRDefault="00AC7260" w:rsidP="00AC7260">
      <w:pPr>
        <w:pStyle w:val="indent"/>
        <w:spacing w:before="0" w:beforeAutospacing="0" w:after="0" w:afterAutospacing="0"/>
        <w:ind w:firstLine="360"/>
        <w:jc w:val="both"/>
        <w:rPr>
          <w:color w:val="000000"/>
        </w:rPr>
      </w:pPr>
      <w:r>
        <w:rPr>
          <w:color w:val="000000"/>
        </w:rPr>
        <w:t>The Court agreed with Ramirez, saying that a search and seizure warrant that does not contain a particular description of the things to be seized is unconstitutional even if the application for the warrant contains such descriptions. The Court rejected Groh's argument that the search was based on a particular description because it was in the supporting documents. The Court, however, refused to address two other issues involved in the case: (1) whether the warrant would have been valid if it had mentioned that the application clearly listed the items to be seized but that the list was not available during the search, and (2) whether orally describing the items to the defendant during the search complies with the specificity requirement.</w:t>
      </w:r>
    </w:p>
    <w:p w14:paraId="0C95D72C" w14:textId="77777777" w:rsidR="00AC7260" w:rsidRDefault="00AC7260" w:rsidP="00AC7260">
      <w:pPr>
        <w:pStyle w:val="Heading3"/>
        <w:spacing w:before="240" w:after="120"/>
        <w:rPr>
          <w:color w:val="000000"/>
          <w:sz w:val="29"/>
          <w:szCs w:val="29"/>
        </w:rPr>
      </w:pPr>
      <w:hyperlink r:id="rId99" w:anchor="toc-ch7-17" w:history="1">
        <w:r>
          <w:rPr>
            <w:rStyle w:val="Hyperlink"/>
            <w:color w:val="000000"/>
            <w:sz w:val="29"/>
            <w:szCs w:val="29"/>
          </w:rPr>
          <w:t>The Signature of a Magistrate</w:t>
        </w:r>
      </w:hyperlink>
    </w:p>
    <w:p w14:paraId="6B6C6C74" w14:textId="77777777" w:rsidR="00AC7260" w:rsidRDefault="00AC7260" w:rsidP="00AC7260">
      <w:pPr>
        <w:pStyle w:val="noindent"/>
        <w:spacing w:before="0" w:beforeAutospacing="0" w:after="0" w:afterAutospacing="0"/>
        <w:jc w:val="both"/>
        <w:rPr>
          <w:color w:val="000000"/>
        </w:rPr>
      </w:pPr>
      <w:r>
        <w:rPr>
          <w:color w:val="000000"/>
        </w:rPr>
        <w:t>As in the cases of arrest warrants, search warrants must be issued only by a</w:t>
      </w:r>
      <w:r>
        <w:rPr>
          <w:rStyle w:val="apple-converted-space"/>
          <w:color w:val="000000"/>
        </w:rPr>
        <w:t> </w:t>
      </w:r>
      <w:hyperlink r:id="rId100" w:anchor="kt7-8" w:history="1">
        <w:r>
          <w:rPr>
            <w:rStyle w:val="Hyperlink"/>
            <w:b/>
            <w:bCs/>
            <w:color w:val="000000"/>
          </w:rPr>
          <w:t>neutral and detached magistrate</w:t>
        </w:r>
      </w:hyperlink>
      <w:r>
        <w:rPr>
          <w:color w:val="000000"/>
        </w:rPr>
        <w:t xml:space="preserve">, meaning a magistrate that is not aligned with the government. The Court has said, “Inferences must be drawn by a neutral and detached magistrate instead of being judged by the officer engaged in the </w:t>
      </w:r>
      <w:proofErr w:type="gramStart"/>
      <w:r>
        <w:rPr>
          <w:color w:val="000000"/>
        </w:rPr>
        <w:t>often competitive</w:t>
      </w:r>
      <w:proofErr w:type="gramEnd"/>
      <w:r>
        <w:rPr>
          <w:color w:val="000000"/>
        </w:rPr>
        <w:t xml:space="preserve"> enterprise of ferreting out crime” (</w:t>
      </w:r>
      <w:r>
        <w:rPr>
          <w:rStyle w:val="Emphasis"/>
          <w:color w:val="000000"/>
        </w:rPr>
        <w:t>Johnson v. United States</w:t>
      </w:r>
      <w:r>
        <w:rPr>
          <w:color w:val="000000"/>
        </w:rPr>
        <w:t>, 333 U.S. 10 [1948]). Several examples illustrate this requirement.</w:t>
      </w:r>
    </w:p>
    <w:p w14:paraId="39898432" w14:textId="77777777" w:rsidR="00AC7260" w:rsidRDefault="00AC7260" w:rsidP="00AC7260">
      <w:pPr>
        <w:pStyle w:val="key"/>
        <w:shd w:val="clear" w:color="auto" w:fill="E7E7E8"/>
        <w:spacing w:before="48" w:beforeAutospacing="0" w:after="0" w:afterAutospacing="0"/>
        <w:jc w:val="both"/>
        <w:rPr>
          <w:color w:val="000000"/>
        </w:rPr>
      </w:pPr>
      <w:r>
        <w:rPr>
          <w:b/>
          <w:bCs/>
          <w:color w:val="000000"/>
        </w:rPr>
        <w:lastRenderedPageBreak/>
        <w:t>neutral and detached magistrate</w:t>
      </w:r>
      <w:r>
        <w:rPr>
          <w:color w:val="000000"/>
        </w:rPr>
        <w:br/>
        <w:t>a magistrate who is not aligned with the government.</w:t>
      </w:r>
    </w:p>
    <w:p w14:paraId="6BA134EC"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A magistrate who receives a fee when issuing a warrant but not when denying one is not neutral and detached (</w:t>
      </w:r>
      <w:r>
        <w:rPr>
          <w:rStyle w:val="Emphasis"/>
          <w:color w:val="000000"/>
        </w:rPr>
        <w:t>Connally v. Georgia</w:t>
      </w:r>
      <w:r>
        <w:rPr>
          <w:color w:val="000000"/>
        </w:rPr>
        <w:t>, 429 U.S. 245 [1977]).</w:t>
      </w:r>
    </w:p>
    <w:p w14:paraId="22783BDF"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A magistrate who participates in the search to determine its scope lacks the requisite neutrality and detachment (</w:t>
      </w:r>
      <w:r>
        <w:rPr>
          <w:rStyle w:val="Emphasis"/>
          <w:color w:val="000000"/>
        </w:rPr>
        <w:t>Lo-Ji Sales, Inc. v. New York</w:t>
      </w:r>
      <w:r>
        <w:rPr>
          <w:color w:val="000000"/>
        </w:rPr>
        <w:t>, 442 U.S. 319 [1979]).</w:t>
      </w:r>
    </w:p>
    <w:p w14:paraId="799D907B"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The state's chief investigator and prosecutor (state attorney general) is not neutral and detached, so any warrant issued by him or her is invalid (</w:t>
      </w:r>
      <w:r>
        <w:rPr>
          <w:rStyle w:val="Emphasis"/>
          <w:color w:val="000000"/>
        </w:rPr>
        <w:t>Coolidge v. New Hampshire</w:t>
      </w:r>
      <w:r>
        <w:rPr>
          <w:color w:val="000000"/>
        </w:rPr>
        <w:t>, 403 U.S. 443 [1971]).</w:t>
      </w:r>
    </w:p>
    <w:p w14:paraId="2CBCC0E9"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Connally v. Georgia</w:t>
      </w:r>
      <w:r>
        <w:rPr>
          <w:rStyle w:val="apple-converted-space"/>
          <w:color w:val="000000"/>
          <w:sz w:val="20"/>
          <w:szCs w:val="20"/>
        </w:rPr>
        <w:t> </w:t>
      </w:r>
      <w:r>
        <w:rPr>
          <w:color w:val="000000"/>
          <w:sz w:val="20"/>
          <w:szCs w:val="20"/>
        </w:rPr>
        <w:t>(1977)</w:t>
      </w:r>
    </w:p>
    <w:p w14:paraId="604178CB"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Lo-Ji Sales, Inc. v. New York</w:t>
      </w:r>
      <w:r>
        <w:rPr>
          <w:rStyle w:val="apple-converted-space"/>
          <w:color w:val="000000"/>
          <w:sz w:val="20"/>
          <w:szCs w:val="20"/>
        </w:rPr>
        <w:t> </w:t>
      </w:r>
      <w:r>
        <w:rPr>
          <w:color w:val="000000"/>
          <w:sz w:val="20"/>
          <w:szCs w:val="20"/>
        </w:rPr>
        <w:t>(1979)</w:t>
      </w:r>
    </w:p>
    <w:p w14:paraId="4AC3EEE5"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Coolidge v. New Hampshire</w:t>
      </w:r>
      <w:r>
        <w:rPr>
          <w:rStyle w:val="apple-converted-space"/>
          <w:color w:val="000000"/>
          <w:sz w:val="20"/>
          <w:szCs w:val="20"/>
        </w:rPr>
        <w:t> </w:t>
      </w:r>
      <w:r>
        <w:rPr>
          <w:color w:val="000000"/>
          <w:sz w:val="20"/>
          <w:szCs w:val="20"/>
        </w:rPr>
        <w:t>(1971)</w:t>
      </w:r>
    </w:p>
    <w:p w14:paraId="59B0974A" w14:textId="77777777" w:rsidR="00AC7260" w:rsidRDefault="00AC7260" w:rsidP="00AC7260">
      <w:pPr>
        <w:pStyle w:val="Heading2"/>
        <w:shd w:val="clear" w:color="auto" w:fill="EDEEEE"/>
        <w:spacing w:before="240" w:beforeAutospacing="0" w:after="120" w:afterAutospacing="0"/>
        <w:rPr>
          <w:color w:val="000000"/>
          <w:sz w:val="31"/>
          <w:szCs w:val="31"/>
        </w:rPr>
      </w:pPr>
      <w:hyperlink r:id="rId101" w:anchor="toc-ch7-18" w:history="1">
        <w:r>
          <w:rPr>
            <w:rStyle w:val="Hyperlink"/>
            <w:color w:val="000000"/>
            <w:sz w:val="31"/>
            <w:szCs w:val="31"/>
          </w:rPr>
          <w:t>THE PROCEDURE FOR SERVING A WARRANT</w:t>
        </w:r>
      </w:hyperlink>
    </w:p>
    <w:p w14:paraId="66A8D263" w14:textId="77777777" w:rsidR="00AC7260" w:rsidRDefault="00AC7260" w:rsidP="00AC7260">
      <w:pPr>
        <w:pStyle w:val="noindent"/>
        <w:spacing w:before="0" w:beforeAutospacing="0" w:after="0" w:afterAutospacing="0"/>
        <w:jc w:val="both"/>
        <w:rPr>
          <w:color w:val="000000"/>
        </w:rPr>
      </w:pPr>
      <w:r>
        <w:rPr>
          <w:color w:val="000000"/>
        </w:rPr>
        <w:t>The search warrant is directed to a law enforcement officer and must state the grounds for issuance and the names of those who gave affidavits in support of it (see</w:t>
      </w:r>
      <w:r>
        <w:rPr>
          <w:rStyle w:val="apple-converted-space"/>
          <w:color w:val="000000"/>
        </w:rPr>
        <w:t> </w:t>
      </w:r>
      <w:hyperlink r:id="rId102" w:anchor="figure7.2" w:history="1">
        <w:r>
          <w:rPr>
            <w:rStyle w:val="Hyperlink"/>
          </w:rPr>
          <w:t>Figure 7.2</w:t>
        </w:r>
      </w:hyperlink>
      <w:r>
        <w:rPr>
          <w:color w:val="000000"/>
        </w:rPr>
        <w:t>). The execution of a warrant is specified in detail by state law, usually in the state's code of criminal procedure. Failure to execute the warrant in accordance with state or local law generally results in exclusion of the evidence during trial. The warrant usually directs that it be served during the daytime, but if the affidavits are positive that the property is on the person or in the place to be searched, the warrant may direct that it be served at any time. Some states, by law, authorize nighttime searches. The warrant must designate the judge or magistrate to whom the warrant is to be returned. It also must be executed and delivered within a specified number of days from the date of issuance. Some states specify ten days; others allow less time. If the warrant is not served during that time, it expires and can no longer be served.</w:t>
      </w:r>
    </w:p>
    <w:p w14:paraId="759C1E5E" w14:textId="77777777" w:rsidR="00AC7260" w:rsidRDefault="00AC7260" w:rsidP="00AC7260">
      <w:pPr>
        <w:pStyle w:val="indent"/>
        <w:spacing w:before="0" w:beforeAutospacing="0" w:after="0" w:afterAutospacing="0"/>
        <w:ind w:firstLine="360"/>
        <w:jc w:val="both"/>
        <w:rPr>
          <w:color w:val="000000"/>
        </w:rPr>
      </w:pPr>
      <w:r>
        <w:rPr>
          <w:color w:val="000000"/>
        </w:rPr>
        <w:t>Note that search warrants differ in this respect from arrest warrants, which are usually valid until served. The officer executing the search warrant must either: (1) give a copy of the warrant and a receipt for any seized property to the person from whom it is taken, or (2) leave a copy and receipt on the premises. A written inventory must be made, and the officer's report, accompanied by the inventory, must be submitted promptly.</w:t>
      </w:r>
    </w:p>
    <w:p w14:paraId="70C7B195" w14:textId="53AAAF51" w:rsidR="00AC7260" w:rsidRDefault="00AC7260" w:rsidP="009826EC"/>
    <w:p w14:paraId="276EE73F" w14:textId="77777777" w:rsidR="00AC7260" w:rsidRDefault="00AC7260" w:rsidP="00AC7260">
      <w:pPr>
        <w:pStyle w:val="Heading2"/>
        <w:shd w:val="clear" w:color="auto" w:fill="EDEEEE"/>
        <w:spacing w:before="240" w:beforeAutospacing="0" w:after="120" w:afterAutospacing="0"/>
        <w:rPr>
          <w:color w:val="000000"/>
          <w:sz w:val="31"/>
          <w:szCs w:val="31"/>
        </w:rPr>
      </w:pPr>
      <w:hyperlink r:id="rId103" w:anchor="toc-ch7-19" w:history="1">
        <w:r>
          <w:rPr>
            <w:rStyle w:val="Hyperlink"/>
            <w:color w:val="000000"/>
            <w:sz w:val="31"/>
            <w:szCs w:val="31"/>
            <w:u w:val="none"/>
          </w:rPr>
          <w:t>SEARCH AND SEIZURE WITHOUT A WARRANT</w:t>
        </w:r>
      </w:hyperlink>
    </w:p>
    <w:p w14:paraId="64AA143B" w14:textId="77777777" w:rsidR="00AC7260" w:rsidRDefault="00AC7260" w:rsidP="00AC7260">
      <w:pPr>
        <w:pStyle w:val="noindent"/>
        <w:spacing w:before="0" w:beforeAutospacing="0" w:after="0" w:afterAutospacing="0"/>
        <w:jc w:val="both"/>
        <w:rPr>
          <w:color w:val="000000"/>
        </w:rPr>
      </w:pPr>
      <w:r>
        <w:rPr>
          <w:color w:val="000000"/>
        </w:rPr>
        <w:t xml:space="preserve">Searches and seizures without a warrant are discussed here first, before searches and seizures with a warrant, because they are the most common type of search done by police officers. In searches and seizures without a warrant, the burden is on the police to prove in court that probable cause existed at the time of the warrantless search or seizure. It is therefore essential for law enforcement officers to be thoroughly familiar with the law on warrantless searches and seizures. Generally, there are seven exceptions to the rule that </w:t>
      </w:r>
      <w:proofErr w:type="gramStart"/>
      <w:r>
        <w:rPr>
          <w:color w:val="000000"/>
        </w:rPr>
        <w:t>searches</w:t>
      </w:r>
      <w:proofErr w:type="gramEnd"/>
      <w:r>
        <w:rPr>
          <w:color w:val="000000"/>
        </w:rPr>
        <w:t xml:space="preserve"> and seizures must be made with a warrant and with probable cause:</w:t>
      </w:r>
    </w:p>
    <w:p w14:paraId="6BD70C0C" w14:textId="77777777" w:rsidR="00AC7260" w:rsidRDefault="00AC7260" w:rsidP="00AC7260">
      <w:pPr>
        <w:pStyle w:val="paralist3"/>
        <w:spacing w:before="0" w:beforeAutospacing="0" w:after="0" w:afterAutospacing="0"/>
        <w:jc w:val="both"/>
        <w:rPr>
          <w:color w:val="000000"/>
        </w:rPr>
      </w:pPr>
      <w:r>
        <w:rPr>
          <w:rStyle w:val="label"/>
          <w:b/>
          <w:bCs/>
          <w:color w:val="000000"/>
        </w:rPr>
        <w:t>1.</w:t>
      </w:r>
      <w:r>
        <w:rPr>
          <w:color w:val="000000"/>
        </w:rPr>
        <w:t>The searches with consent exception.</w:t>
      </w:r>
    </w:p>
    <w:p w14:paraId="33F628CA" w14:textId="77777777" w:rsidR="00AC7260" w:rsidRDefault="00AC7260" w:rsidP="00AC7260">
      <w:pPr>
        <w:pStyle w:val="paralist3"/>
        <w:spacing w:before="0" w:beforeAutospacing="0" w:after="0" w:afterAutospacing="0"/>
        <w:jc w:val="both"/>
        <w:rPr>
          <w:color w:val="000000"/>
        </w:rPr>
      </w:pPr>
      <w:r>
        <w:rPr>
          <w:rStyle w:val="label"/>
          <w:b/>
          <w:bCs/>
          <w:color w:val="000000"/>
        </w:rPr>
        <w:t>2.</w:t>
      </w:r>
      <w:r>
        <w:rPr>
          <w:color w:val="000000"/>
        </w:rPr>
        <w:t>The search incident to lawful arrest exception.</w:t>
      </w:r>
    </w:p>
    <w:p w14:paraId="05878DC0" w14:textId="77777777" w:rsidR="00AC7260" w:rsidRDefault="00AC7260" w:rsidP="00AC7260">
      <w:pPr>
        <w:pStyle w:val="paralist3"/>
        <w:spacing w:before="0" w:beforeAutospacing="0" w:after="0" w:afterAutospacing="0"/>
        <w:jc w:val="both"/>
        <w:rPr>
          <w:color w:val="000000"/>
        </w:rPr>
      </w:pPr>
      <w:r>
        <w:rPr>
          <w:rStyle w:val="label"/>
          <w:b/>
          <w:bCs/>
          <w:color w:val="000000"/>
        </w:rPr>
        <w:t>3.</w:t>
      </w:r>
      <w:r>
        <w:rPr>
          <w:color w:val="000000"/>
        </w:rPr>
        <w:t>The exigent circumstances exception.</w:t>
      </w:r>
    </w:p>
    <w:p w14:paraId="3C55B35A" w14:textId="77777777" w:rsidR="00AC7260" w:rsidRDefault="00AC7260" w:rsidP="00AC7260">
      <w:pPr>
        <w:pStyle w:val="paralist3"/>
        <w:spacing w:before="0" w:beforeAutospacing="0" w:after="0" w:afterAutospacing="0"/>
        <w:jc w:val="both"/>
        <w:rPr>
          <w:color w:val="000000"/>
        </w:rPr>
      </w:pPr>
      <w:r>
        <w:rPr>
          <w:rStyle w:val="label"/>
          <w:b/>
          <w:bCs/>
          <w:color w:val="000000"/>
        </w:rPr>
        <w:t>4.</w:t>
      </w:r>
      <w:r>
        <w:rPr>
          <w:color w:val="000000"/>
        </w:rPr>
        <w:t>The special needs exception.</w:t>
      </w:r>
    </w:p>
    <w:p w14:paraId="3ECE4ACD" w14:textId="77777777" w:rsidR="00AC7260" w:rsidRDefault="00AC7260" w:rsidP="00AC7260">
      <w:pPr>
        <w:pStyle w:val="paralist3"/>
        <w:spacing w:before="0" w:beforeAutospacing="0" w:after="0" w:afterAutospacing="0"/>
        <w:jc w:val="both"/>
        <w:rPr>
          <w:color w:val="000000"/>
        </w:rPr>
      </w:pPr>
      <w:r>
        <w:rPr>
          <w:rStyle w:val="label"/>
          <w:b/>
          <w:bCs/>
          <w:color w:val="000000"/>
        </w:rPr>
        <w:t>5.</w:t>
      </w:r>
      <w:r>
        <w:rPr>
          <w:color w:val="000000"/>
        </w:rPr>
        <w:t>The administrative searches and inspections exception.</w:t>
      </w:r>
    </w:p>
    <w:p w14:paraId="0B1882C7" w14:textId="77777777" w:rsidR="00AC7260" w:rsidRDefault="00AC7260" w:rsidP="00AC7260">
      <w:pPr>
        <w:pStyle w:val="paralist3"/>
        <w:spacing w:before="0" w:beforeAutospacing="0" w:after="0" w:afterAutospacing="0"/>
        <w:jc w:val="both"/>
        <w:rPr>
          <w:color w:val="000000"/>
        </w:rPr>
      </w:pPr>
      <w:r>
        <w:rPr>
          <w:rStyle w:val="label"/>
          <w:b/>
          <w:bCs/>
          <w:color w:val="000000"/>
        </w:rPr>
        <w:t>6.</w:t>
      </w:r>
      <w:r>
        <w:rPr>
          <w:color w:val="000000"/>
        </w:rPr>
        <w:t>The stop and frisk exception.</w:t>
      </w:r>
    </w:p>
    <w:p w14:paraId="465DB9C6" w14:textId="77777777" w:rsidR="00AC7260" w:rsidRDefault="00AC7260" w:rsidP="00AC7260">
      <w:pPr>
        <w:pStyle w:val="paralist3"/>
        <w:spacing w:before="0" w:beforeAutospacing="0" w:after="0" w:afterAutospacing="0"/>
        <w:jc w:val="both"/>
        <w:rPr>
          <w:color w:val="000000"/>
        </w:rPr>
      </w:pPr>
      <w:r>
        <w:rPr>
          <w:rStyle w:val="label"/>
          <w:b/>
          <w:bCs/>
          <w:color w:val="000000"/>
        </w:rPr>
        <w:t>7.</w:t>
      </w:r>
      <w:r>
        <w:rPr>
          <w:color w:val="000000"/>
        </w:rPr>
        <w:t>The motor vehicles exception.</w:t>
      </w:r>
    </w:p>
    <w:p w14:paraId="14ACC496" w14:textId="77777777" w:rsidR="00AC7260" w:rsidRDefault="00AC7260" w:rsidP="00AC7260">
      <w:pPr>
        <w:pStyle w:val="noindent"/>
        <w:spacing w:before="0" w:beforeAutospacing="0" w:after="0" w:afterAutospacing="0"/>
        <w:jc w:val="both"/>
        <w:rPr>
          <w:color w:val="000000"/>
        </w:rPr>
      </w:pPr>
      <w:r>
        <w:rPr>
          <w:color w:val="000000"/>
        </w:rPr>
        <w:lastRenderedPageBreak/>
        <w:t>Exceptions 1–5 are discussed in sequence in this chapter. The stop and frisk exception is discussed in</w:t>
      </w:r>
      <w:r>
        <w:rPr>
          <w:rStyle w:val="apple-converted-space"/>
          <w:color w:val="000000"/>
        </w:rPr>
        <w:t> </w:t>
      </w:r>
      <w:hyperlink r:id="rId104" w:anchor="ch5" w:history="1">
        <w:r>
          <w:rPr>
            <w:rStyle w:val="Hyperlink"/>
            <w:u w:val="none"/>
          </w:rPr>
          <w:t>Chapter 5</w:t>
        </w:r>
      </w:hyperlink>
      <w:r>
        <w:rPr>
          <w:color w:val="000000"/>
        </w:rPr>
        <w:t>, and the motor vehicle exception is discussed in</w:t>
      </w:r>
      <w:r>
        <w:rPr>
          <w:rStyle w:val="apple-converted-space"/>
          <w:color w:val="000000"/>
        </w:rPr>
        <w:t> </w:t>
      </w:r>
      <w:hyperlink r:id="rId105" w:anchor="ch8" w:history="1">
        <w:r>
          <w:rPr>
            <w:rStyle w:val="Hyperlink"/>
            <w:u w:val="none"/>
          </w:rPr>
          <w:t>Chapter 8</w:t>
        </w:r>
      </w:hyperlink>
      <w:r>
        <w:rPr>
          <w:color w:val="000000"/>
        </w:rPr>
        <w:t>. The special needs and administrative searches exceptions are discussed later in this chapter as separate topics because they are not conducted by police officers, although sometimes police officers assist in these searches.</w:t>
      </w:r>
    </w:p>
    <w:p w14:paraId="42FE784C" w14:textId="77777777" w:rsidR="00AC7260" w:rsidRDefault="00AC7260" w:rsidP="00AC7260">
      <w:pPr>
        <w:pStyle w:val="Heading3"/>
        <w:spacing w:before="240" w:after="120"/>
        <w:rPr>
          <w:color w:val="000000"/>
          <w:sz w:val="29"/>
          <w:szCs w:val="29"/>
        </w:rPr>
      </w:pPr>
      <w:hyperlink r:id="rId106" w:anchor="toc-ch7-20" w:history="1">
        <w:r>
          <w:rPr>
            <w:rStyle w:val="Hyperlink"/>
            <w:color w:val="000000"/>
            <w:sz w:val="29"/>
            <w:szCs w:val="29"/>
            <w:u w:val="none"/>
          </w:rPr>
          <w:t>The Searches with Consent Exception</w:t>
        </w:r>
      </w:hyperlink>
    </w:p>
    <w:p w14:paraId="3759D23A" w14:textId="77777777" w:rsidR="00AC7260" w:rsidRDefault="00AC7260" w:rsidP="00AC7260">
      <w:pPr>
        <w:pStyle w:val="noindent"/>
        <w:spacing w:before="0" w:beforeAutospacing="0" w:after="0" w:afterAutospacing="0"/>
        <w:jc w:val="both"/>
        <w:rPr>
          <w:color w:val="000000"/>
        </w:rPr>
      </w:pPr>
      <w:r>
        <w:rPr>
          <w:color w:val="000000"/>
        </w:rPr>
        <w:t xml:space="preserve">The searches with consent exception </w:t>
      </w:r>
      <w:proofErr w:type="gramStart"/>
      <w:r>
        <w:rPr>
          <w:color w:val="000000"/>
        </w:rPr>
        <w:t>is</w:t>
      </w:r>
      <w:proofErr w:type="gramEnd"/>
      <w:r>
        <w:rPr>
          <w:color w:val="000000"/>
        </w:rPr>
        <w:t xml:space="preserve"> the most common exception to the warrant requirement rule. It states that, if a person gives proper consent, the consent is valid, and anything illegal found and confiscated during the search may be introduced as evidence in court. There are limits to that search, however. The three most important limits are:</w:t>
      </w:r>
    </w:p>
    <w:p w14:paraId="0BE2D404"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The consent must be voluntary.</w:t>
      </w:r>
    </w:p>
    <w:p w14:paraId="17EC41DF"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The search must stay within its allowable scope.</w:t>
      </w:r>
    </w:p>
    <w:p w14:paraId="5DA7C620"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The person must have the authority to give consent.</w:t>
      </w:r>
    </w:p>
    <w:p w14:paraId="0868A9B9" w14:textId="77777777" w:rsidR="00AC7260" w:rsidRDefault="00AC7260" w:rsidP="00AC7260">
      <w:pPr>
        <w:pStyle w:val="noindent"/>
        <w:spacing w:before="240" w:beforeAutospacing="0" w:after="0" w:afterAutospacing="0"/>
        <w:jc w:val="both"/>
        <w:rPr>
          <w:color w:val="000000"/>
        </w:rPr>
      </w:pPr>
      <w:r>
        <w:rPr>
          <w:b/>
          <w:bCs/>
          <w:color w:val="000000"/>
        </w:rPr>
        <w:t>The Consent Must Be Voluntary</w:t>
      </w:r>
      <w:r>
        <w:rPr>
          <w:rStyle w:val="apple-converted-space"/>
          <w:color w:val="000000"/>
        </w:rPr>
        <w:t> </w:t>
      </w:r>
      <w:r>
        <w:rPr>
          <w:color w:val="000000"/>
        </w:rPr>
        <w:t>Warrantless searches with consent are valid, but the consent must be</w:t>
      </w:r>
      <w:r>
        <w:rPr>
          <w:rStyle w:val="apple-converted-space"/>
          <w:color w:val="000000"/>
        </w:rPr>
        <w:t> </w:t>
      </w:r>
      <w:r>
        <w:rPr>
          <w:rStyle w:val="Emphasis"/>
          <w:color w:val="000000"/>
        </w:rPr>
        <w:t>voluntary</w:t>
      </w:r>
      <w:r>
        <w:rPr>
          <w:color w:val="000000"/>
        </w:rPr>
        <w:t xml:space="preserve">, meaning it was not obtained </w:t>
      </w:r>
      <w:proofErr w:type="gramStart"/>
      <w:r>
        <w:rPr>
          <w:color w:val="000000"/>
        </w:rPr>
        <w:t>by the use of</w:t>
      </w:r>
      <w:proofErr w:type="gramEnd"/>
      <w:r>
        <w:rPr>
          <w:color w:val="000000"/>
        </w:rPr>
        <w:t xml:space="preserve"> force, duress, or coercion. Whether consent is voluntary is determined by looking at the totality of circumstances. For example, consent given only after the officer demands entry cannot be deemed voluntary. “Open the door” will most likely be interpreted by the courts as a command that must be obeyed, giving the occupant no </w:t>
      </w:r>
      <w:proofErr w:type="gramStart"/>
      <w:r>
        <w:rPr>
          <w:color w:val="000000"/>
        </w:rPr>
        <w:t>choice</w:t>
      </w:r>
      <w:proofErr w:type="gramEnd"/>
      <w:r>
        <w:rPr>
          <w:color w:val="000000"/>
        </w:rPr>
        <w:t xml:space="preserve"> and therefore making the consent involuntary. A request, however, is different from a demand. Requests such as, “Would you mind if I come in and look around?” are more likely to result in voluntary consent than, “I am going to look around.”</w:t>
      </w:r>
    </w:p>
    <w:p w14:paraId="3243C77E"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Florida v. Bostick</w:t>
      </w:r>
      <w:r>
        <w:rPr>
          <w:color w:val="000000"/>
        </w:rPr>
        <w:t>, 501 U.S. 429 (1991), two officers, with badges and insignia, boarded a bus. They explained their presence as being “on the lookout for illegal drugs.” Without any articulable suspicion, they approached Bostick, a passenger, and asked to see some identification and inspect his bus ticket. The officers asked Bostick for consent to search his bag and told him he had the right to refuse consent. Bostick gave consent, and the subsequent search turned up contraband. On appeal of his conviction, the Court held that the consent was valid.</w:t>
      </w:r>
    </w:p>
    <w:p w14:paraId="6D4909D5"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United States v. Drayton</w:t>
      </w:r>
      <w:r>
        <w:rPr>
          <w:color w:val="000000"/>
        </w:rPr>
        <w:t>, 536 U.S. 194 (2002), the Court went further and said that the Fourth Amendment permits police officers to approach bus passengers, ask questions, and request their consent to search, provided that a reasonable person would understand that he or she is free to refuse. There is no requirement in the Fourth Amendment for officers to advise persons of their right to refuse to cooperate.</w:t>
      </w:r>
    </w:p>
    <w:p w14:paraId="260B2126" w14:textId="77777777" w:rsidR="00AC7260" w:rsidRDefault="00AC7260" w:rsidP="00AC7260">
      <w:pPr>
        <w:pStyle w:val="indent"/>
        <w:spacing w:before="0" w:beforeAutospacing="0" w:after="0" w:afterAutospacing="0"/>
        <w:ind w:firstLine="360"/>
        <w:jc w:val="both"/>
        <w:rPr>
          <w:color w:val="000000"/>
        </w:rPr>
      </w:pPr>
      <w:r>
        <w:rPr>
          <w:color w:val="000000"/>
        </w:rPr>
        <w:t xml:space="preserve">Consent need not be </w:t>
      </w:r>
      <w:proofErr w:type="gramStart"/>
      <w:r>
        <w:rPr>
          <w:color w:val="000000"/>
        </w:rPr>
        <w:t>spoken,</w:t>
      </w:r>
      <w:proofErr w:type="gramEnd"/>
      <w:r>
        <w:rPr>
          <w:color w:val="000000"/>
        </w:rPr>
        <w:t xml:space="preserve"> it may be indicated by actions alone. Mere silence or failure to object to a search does not necessarily mean the person is giving consent, however. The consent must be clear. For example, a shrug of the shoulders may signify indifference or resignation rather than consent, but multiple nods strongly imply</w:t>
      </w:r>
      <w:r>
        <w:rPr>
          <w:rStyle w:val="apple-converted-space"/>
          <w:color w:val="000000"/>
        </w:rPr>
        <w:t> </w:t>
      </w:r>
      <w:r>
        <w:rPr>
          <w:color w:val="000000"/>
        </w:rPr>
        <w:t>consent. In</w:t>
      </w:r>
      <w:r>
        <w:rPr>
          <w:rStyle w:val="apple-converted-space"/>
          <w:color w:val="000000"/>
        </w:rPr>
        <w:t> </w:t>
      </w:r>
      <w:r>
        <w:rPr>
          <w:rStyle w:val="Emphasis"/>
          <w:color w:val="000000"/>
        </w:rPr>
        <w:t xml:space="preserve">United States v. </w:t>
      </w:r>
      <w:proofErr w:type="spellStart"/>
      <w:r>
        <w:rPr>
          <w:rStyle w:val="Emphasis"/>
          <w:color w:val="000000"/>
        </w:rPr>
        <w:t>Shaibu</w:t>
      </w:r>
      <w:proofErr w:type="spellEnd"/>
      <w:r>
        <w:rPr>
          <w:color w:val="000000"/>
        </w:rPr>
        <w:t>, 920 F.2d 1423 (9th Cir. 1990), the Ninth Circuit Court of Appeals said that there was no valid consent when the resident opened his door, stepped into the hallway, listened to the officers identify themselves and explain the purpose of their visit, and then retreated wordlessly back into the apartment without closing the door. The government in this case failed to meet its burden of proving consent merely by showing that the defendant left his door open.</w:t>
      </w:r>
    </w:p>
    <w:p w14:paraId="14037085" w14:textId="77777777" w:rsidR="00AC7260" w:rsidRDefault="00AC7260" w:rsidP="00AC7260">
      <w:pPr>
        <w:pStyle w:val="indent"/>
        <w:spacing w:before="0" w:beforeAutospacing="0" w:after="0" w:afterAutospacing="0"/>
        <w:ind w:firstLine="360"/>
        <w:jc w:val="both"/>
        <w:rPr>
          <w:color w:val="000000"/>
        </w:rPr>
      </w:pPr>
      <w:r>
        <w:rPr>
          <w:color w:val="000000"/>
        </w:rPr>
        <w:t xml:space="preserve">There is also no valid consent if permission is given </w:t>
      </w:r>
      <w:proofErr w:type="gramStart"/>
      <w:r>
        <w:rPr>
          <w:color w:val="000000"/>
        </w:rPr>
        <w:t>as a result of</w:t>
      </w:r>
      <w:proofErr w:type="gramEnd"/>
      <w:r>
        <w:rPr>
          <w:color w:val="000000"/>
        </w:rPr>
        <w:t xml:space="preserve"> police misrepresentation or deception, such as saying, “We have a warrant,” when none exists (</w:t>
      </w:r>
      <w:r>
        <w:rPr>
          <w:rStyle w:val="Emphasis"/>
          <w:color w:val="000000"/>
        </w:rPr>
        <w:t>Bumper v. North Carolina</w:t>
      </w:r>
      <w:r>
        <w:rPr>
          <w:color w:val="000000"/>
        </w:rPr>
        <w:t xml:space="preserve">, 391 U.S. 543 [1968]). Lower courts are divided on the issue of whether consent is valid if the officer </w:t>
      </w:r>
      <w:r>
        <w:rPr>
          <w:color w:val="000000"/>
        </w:rPr>
        <w:lastRenderedPageBreak/>
        <w:t>does not have a warrant but threatens to obtain one. The issue has not been resolved by the Supreme Court.</w:t>
      </w:r>
    </w:p>
    <w:p w14:paraId="56148D44" w14:textId="3301ED88" w:rsidR="00AC7260" w:rsidRDefault="00AC7260" w:rsidP="009826EC"/>
    <w:p w14:paraId="4EE723EE" w14:textId="77777777" w:rsidR="00AC7260" w:rsidRDefault="00AC7260" w:rsidP="00AC7260">
      <w:pPr>
        <w:pStyle w:val="indent"/>
        <w:spacing w:before="0" w:beforeAutospacing="0" w:after="0" w:afterAutospacing="0"/>
        <w:ind w:firstLine="360"/>
        <w:jc w:val="both"/>
        <w:rPr>
          <w:color w:val="000000"/>
        </w:rPr>
      </w:pPr>
      <w:r>
        <w:rPr>
          <w:color w:val="000000"/>
        </w:rPr>
        <w:t xml:space="preserve">Consent to enter does not necessarily mean consent to search. For example, consent to enter for the purpose of asking questions does not mean consent to search. However, any </w:t>
      </w:r>
      <w:proofErr w:type="spellStart"/>
      <w:r>
        <w:rPr>
          <w:color w:val="000000"/>
        </w:rPr>
        <w:t>seizable</w:t>
      </w:r>
      <w:proofErr w:type="spellEnd"/>
      <w:r>
        <w:rPr>
          <w:color w:val="000000"/>
        </w:rPr>
        <w:t xml:space="preserve"> item in plain view after valid entry may be properly seized because items in plain view are not protected by the Fourth Amendment.</w:t>
      </w:r>
    </w:p>
    <w:p w14:paraId="145A3070" w14:textId="77777777" w:rsidR="00AC7260" w:rsidRDefault="00AC7260" w:rsidP="00AC7260">
      <w:pPr>
        <w:pStyle w:val="indent"/>
        <w:spacing w:before="0" w:beforeAutospacing="0" w:after="0" w:afterAutospacing="0"/>
        <w:ind w:firstLine="360"/>
        <w:jc w:val="both"/>
        <w:rPr>
          <w:color w:val="000000"/>
        </w:rPr>
      </w:pPr>
      <w:r>
        <w:rPr>
          <w:color w:val="000000"/>
        </w:rPr>
        <w:t>To be valid, the consent to search does not have to be in writing. Oral consent is sufficient. Many police departments, however, require that the officer obtain consent in writing (see</w:t>
      </w:r>
      <w:r>
        <w:rPr>
          <w:rStyle w:val="apple-converted-space"/>
          <w:color w:val="000000"/>
        </w:rPr>
        <w:t> </w:t>
      </w:r>
      <w:hyperlink r:id="rId107" w:anchor="figure7.2" w:history="1">
        <w:r>
          <w:rPr>
            <w:rStyle w:val="Hyperlink"/>
          </w:rPr>
          <w:t>Figure 7.2</w:t>
        </w:r>
      </w:hyperlink>
      <w:r>
        <w:rPr>
          <w:color w:val="000000"/>
        </w:rPr>
        <w:t xml:space="preserve">). This is a good policy because the voluntariness of the consent often becomes an issue of whose word the judge or jury believes. A written consent tilts the scale of voluntariness in favor of the officer, particularly if the consent is signed by witnesses. There are instances, however, when a written consent may be impractical or difficult to obtain. The evidence obtained will nonetheless be admissible </w:t>
      </w:r>
      <w:proofErr w:type="gramStart"/>
      <w:r>
        <w:rPr>
          <w:color w:val="000000"/>
        </w:rPr>
        <w:t>as long as</w:t>
      </w:r>
      <w:proofErr w:type="gramEnd"/>
      <w:r>
        <w:rPr>
          <w:color w:val="000000"/>
        </w:rPr>
        <w:t xml:space="preserve"> voluntariness is established by the police. There is no need for the police to prove in court that the person giving consent knew that he or she </w:t>
      </w:r>
      <w:proofErr w:type="gramStart"/>
      <w:r>
        <w:rPr>
          <w:color w:val="000000"/>
        </w:rPr>
        <w:t>actually had</w:t>
      </w:r>
      <w:proofErr w:type="gramEnd"/>
      <w:r>
        <w:rPr>
          <w:color w:val="000000"/>
        </w:rPr>
        <w:t xml:space="preserve"> a right to refuse consent. The Court has held that ignorance of such a right is only one of the factors to be considered in determining whether the consent given was voluntary.</w:t>
      </w:r>
    </w:p>
    <w:p w14:paraId="200CD232" w14:textId="49305B43" w:rsidR="00AC7260" w:rsidRPr="00AC7260" w:rsidRDefault="00AC7260" w:rsidP="00AC7260">
      <w:pPr>
        <w:rPr>
          <w:rFonts w:ascii="Times New Roman" w:eastAsia="Times New Roman" w:hAnsi="Times New Roman" w:cs="Times New Roman"/>
        </w:rPr>
      </w:pPr>
      <w:r w:rsidRPr="00AC7260">
        <w:rPr>
          <w:rFonts w:ascii="Times New Roman" w:eastAsia="Times New Roman" w:hAnsi="Times New Roman" w:cs="Times New Roman"/>
        </w:rPr>
        <w:fldChar w:fldCharType="begin"/>
      </w:r>
      <w:r w:rsidRPr="00AC7260">
        <w:rPr>
          <w:rFonts w:ascii="Times New Roman" w:eastAsia="Times New Roman" w:hAnsi="Times New Roman" w:cs="Times New Roman"/>
        </w:rPr>
        <w:instrText xml:space="preserve"> INCLUDEPICTURE "/var/folders/56/wnp8pdsd019fkrmvxtft5_b00000gn/T/com.microsoft.Word/WebArchiveCopyPasteTempFiles/ch7-page201-1.jpg" \* MERGEFORMATINET </w:instrText>
      </w:r>
      <w:r w:rsidRPr="00AC7260">
        <w:rPr>
          <w:rFonts w:ascii="Times New Roman" w:eastAsia="Times New Roman" w:hAnsi="Times New Roman" w:cs="Times New Roman"/>
        </w:rPr>
        <w:fldChar w:fldCharType="separate"/>
      </w:r>
      <w:r w:rsidRPr="00AC7260">
        <w:rPr>
          <w:rFonts w:ascii="Times New Roman" w:eastAsia="Times New Roman" w:hAnsi="Times New Roman" w:cs="Times New Roman"/>
          <w:noProof/>
        </w:rPr>
        <w:drawing>
          <wp:inline distT="0" distB="0" distL="0" distR="0" wp14:anchorId="3053F5E3" wp14:editId="4ADADBD5">
            <wp:extent cx="5943600" cy="4671060"/>
            <wp:effectExtent l="0" t="0" r="0" b="2540"/>
            <wp:docPr id="1" name="Picture 1" descr="Voluntary Consent for Search And Seiz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ntary Consent for Search And Seizur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43600" cy="4671060"/>
                    </a:xfrm>
                    <a:prstGeom prst="rect">
                      <a:avLst/>
                    </a:prstGeom>
                    <a:noFill/>
                    <a:ln>
                      <a:noFill/>
                    </a:ln>
                  </pic:spPr>
                </pic:pic>
              </a:graphicData>
            </a:graphic>
          </wp:inline>
        </w:drawing>
      </w:r>
      <w:r w:rsidRPr="00AC7260">
        <w:rPr>
          <w:rFonts w:ascii="Times New Roman" w:eastAsia="Times New Roman" w:hAnsi="Times New Roman" w:cs="Times New Roman"/>
        </w:rPr>
        <w:fldChar w:fldCharType="end"/>
      </w:r>
    </w:p>
    <w:p w14:paraId="6C025B96" w14:textId="5F29EDDB" w:rsidR="00AC7260" w:rsidRDefault="00AC7260" w:rsidP="009826EC"/>
    <w:p w14:paraId="3E135CA4" w14:textId="77777777" w:rsidR="00AC7260" w:rsidRPr="00AC7260" w:rsidRDefault="00AC7260" w:rsidP="00AC7260">
      <w:pPr>
        <w:rPr>
          <w:rFonts w:ascii="Times New Roman" w:eastAsia="Times New Roman" w:hAnsi="Times New Roman" w:cs="Times New Roman"/>
        </w:rPr>
      </w:pPr>
      <w:r w:rsidRPr="00AC7260">
        <w:rPr>
          <w:rFonts w:ascii="Times New Roman" w:eastAsia="Times New Roman" w:hAnsi="Times New Roman" w:cs="Times New Roman"/>
          <w:b/>
          <w:bCs/>
          <w:color w:val="000000"/>
        </w:rPr>
        <w:t>The Search Must Stay within Its Allowable Scope</w:t>
      </w:r>
      <w:r w:rsidRPr="00AC7260">
        <w:rPr>
          <w:rFonts w:ascii="Times New Roman" w:eastAsia="Times New Roman" w:hAnsi="Times New Roman" w:cs="Times New Roman"/>
          <w:color w:val="000000"/>
        </w:rPr>
        <w:t xml:space="preserve"> Warrantless searches with consent are valid, but the search must stay within its allowable scope. The scope of allowable search depends </w:t>
      </w:r>
      <w:r w:rsidRPr="00AC7260">
        <w:rPr>
          <w:rFonts w:ascii="Times New Roman" w:eastAsia="Times New Roman" w:hAnsi="Times New Roman" w:cs="Times New Roman"/>
          <w:color w:val="000000"/>
        </w:rPr>
        <w:lastRenderedPageBreak/>
        <w:t xml:space="preserve">on the type of consent given. For example, the statement, “You may look around,” does not authorize the opening of closets, drawers, trunks, and boxes. The consent to search a garage does not imply consent to search an adjoining house, and vice versa. Conversely, consent for police to search a vehicle does extend to closed but unlocked containers found inside the vehicle, </w:t>
      </w:r>
      <w:proofErr w:type="gramStart"/>
      <w:r w:rsidRPr="00AC7260">
        <w:rPr>
          <w:rFonts w:ascii="Times New Roman" w:eastAsia="Times New Roman" w:hAnsi="Times New Roman" w:cs="Times New Roman"/>
          <w:color w:val="000000"/>
        </w:rPr>
        <w:t>as long as</w:t>
      </w:r>
      <w:proofErr w:type="gramEnd"/>
      <w:r w:rsidRPr="00AC7260">
        <w:rPr>
          <w:rFonts w:ascii="Times New Roman" w:eastAsia="Times New Roman" w:hAnsi="Times New Roman" w:cs="Times New Roman"/>
          <w:color w:val="000000"/>
        </w:rPr>
        <w:t xml:space="preserve"> it is objectively reasonable for the police to believe that the scope of the suspect's consent permitted them to open that container (</w:t>
      </w:r>
      <w:r w:rsidRPr="00AC7260">
        <w:rPr>
          <w:rFonts w:ascii="Times New Roman" w:eastAsia="Times New Roman" w:hAnsi="Times New Roman" w:cs="Times New Roman"/>
          <w:i/>
          <w:iCs/>
          <w:color w:val="000000"/>
        </w:rPr>
        <w:t xml:space="preserve">Florida v. </w:t>
      </w:r>
      <w:proofErr w:type="spellStart"/>
      <w:r w:rsidRPr="00AC7260">
        <w:rPr>
          <w:rFonts w:ascii="Times New Roman" w:eastAsia="Times New Roman" w:hAnsi="Times New Roman" w:cs="Times New Roman"/>
          <w:i/>
          <w:iCs/>
          <w:color w:val="000000"/>
        </w:rPr>
        <w:t>Jimeno</w:t>
      </w:r>
      <w:proofErr w:type="spellEnd"/>
      <w:r w:rsidRPr="00AC7260">
        <w:rPr>
          <w:rFonts w:ascii="Times New Roman" w:eastAsia="Times New Roman" w:hAnsi="Times New Roman" w:cs="Times New Roman"/>
          <w:color w:val="000000"/>
        </w:rPr>
        <w:t>, 500 U.S. 248 [1991]). In general, consent to search does not include consent to open a locked (as opposed to closed) container unless the key is voluntarily given to the police.</w:t>
      </w:r>
    </w:p>
    <w:p w14:paraId="6696E690" w14:textId="1CBF0345" w:rsidR="00AC7260" w:rsidRDefault="00AC7260" w:rsidP="009826EC"/>
    <w:p w14:paraId="07852763" w14:textId="77777777" w:rsidR="00AC7260" w:rsidRDefault="00AC7260" w:rsidP="00AC7260">
      <w:pPr>
        <w:pStyle w:val="indent"/>
        <w:spacing w:before="0" w:beforeAutospacing="0" w:after="0" w:afterAutospacing="0"/>
        <w:ind w:firstLine="360"/>
        <w:jc w:val="both"/>
        <w:rPr>
          <w:color w:val="000000"/>
        </w:rPr>
      </w:pPr>
      <w:r>
        <w:rPr>
          <w:color w:val="000000"/>
        </w:rPr>
        <w:t>Consent may be revoked during a search, by the person who gave the consent or by anybody else who possesses authority to do so. However, any evidence obtained before revocation is admissible.</w:t>
      </w:r>
    </w:p>
    <w:p w14:paraId="1A44B92B" w14:textId="77777777" w:rsidR="00AC7260" w:rsidRDefault="00AC7260" w:rsidP="00AC7260">
      <w:pPr>
        <w:pStyle w:val="noindent"/>
        <w:shd w:val="clear" w:color="auto" w:fill="000000"/>
        <w:spacing w:before="0" w:beforeAutospacing="0" w:after="0" w:afterAutospacing="0"/>
        <w:ind w:left="-120" w:right="-120"/>
        <w:jc w:val="both"/>
        <w:rPr>
          <w:color w:val="FFFFFF"/>
          <w:sz w:val="20"/>
          <w:szCs w:val="20"/>
        </w:rPr>
      </w:pPr>
      <w:r>
        <w:rPr>
          <w:b/>
          <w:bCs/>
          <w:color w:val="FFFFFF"/>
          <w:sz w:val="20"/>
          <w:szCs w:val="20"/>
        </w:rPr>
        <w:t>MYTH vs. REALITY</w:t>
      </w:r>
    </w:p>
    <w:p w14:paraId="59805391" w14:textId="77777777" w:rsidR="00AC7260" w:rsidRDefault="00AC7260" w:rsidP="00AC7260">
      <w:pPr>
        <w:pStyle w:val="noindent1"/>
        <w:shd w:val="clear" w:color="auto" w:fill="E8E9EA"/>
        <w:spacing w:before="240" w:beforeAutospacing="0" w:after="48" w:afterAutospacing="0"/>
        <w:jc w:val="both"/>
        <w:rPr>
          <w:color w:val="000000"/>
          <w:sz w:val="20"/>
          <w:szCs w:val="20"/>
        </w:rPr>
      </w:pPr>
      <w:r>
        <w:rPr>
          <w:b/>
          <w:bCs/>
          <w:color w:val="FFFFFF"/>
          <w:sz w:val="20"/>
          <w:szCs w:val="20"/>
          <w:shd w:val="clear" w:color="auto" w:fill="818285"/>
        </w:rPr>
        <w:t>MYTH</w:t>
      </w:r>
      <w:r>
        <w:rPr>
          <w:rStyle w:val="apple-converted-space"/>
          <w:color w:val="000000"/>
          <w:sz w:val="20"/>
          <w:szCs w:val="20"/>
        </w:rPr>
        <w:t> </w:t>
      </w:r>
      <w:r>
        <w:rPr>
          <w:b/>
          <w:bCs/>
          <w:color w:val="000000"/>
          <w:sz w:val="20"/>
          <w:szCs w:val="20"/>
        </w:rPr>
        <w:t>Once a person gives consent to search, they cannot revoke that consent and stop the search.</w:t>
      </w:r>
    </w:p>
    <w:p w14:paraId="2B12D208" w14:textId="77777777" w:rsidR="00AC7260" w:rsidRDefault="00AC7260" w:rsidP="00AC7260">
      <w:pPr>
        <w:pStyle w:val="noindent1"/>
        <w:shd w:val="clear" w:color="auto" w:fill="E8E9EA"/>
        <w:spacing w:before="240" w:beforeAutospacing="0" w:after="48" w:afterAutospacing="0"/>
        <w:jc w:val="both"/>
        <w:rPr>
          <w:color w:val="000000"/>
          <w:sz w:val="20"/>
          <w:szCs w:val="20"/>
        </w:rPr>
      </w:pPr>
      <w:r>
        <w:rPr>
          <w:b/>
          <w:bCs/>
          <w:color w:val="FFFFFF"/>
          <w:sz w:val="20"/>
          <w:szCs w:val="20"/>
          <w:shd w:val="clear" w:color="auto" w:fill="818285"/>
        </w:rPr>
        <w:t>FACT</w:t>
      </w:r>
      <w:r>
        <w:rPr>
          <w:rStyle w:val="apple-converted-space"/>
          <w:color w:val="000000"/>
          <w:sz w:val="20"/>
          <w:szCs w:val="20"/>
        </w:rPr>
        <w:t> </w:t>
      </w:r>
      <w:r>
        <w:rPr>
          <w:color w:val="000000"/>
          <w:sz w:val="20"/>
          <w:szCs w:val="20"/>
        </w:rPr>
        <w:t>Consent to search may be revoked at any time, including during the search.</w:t>
      </w:r>
    </w:p>
    <w:p w14:paraId="0C1051BB" w14:textId="77777777" w:rsidR="00AC7260" w:rsidRDefault="00AC7260" w:rsidP="00AC7260">
      <w:pPr>
        <w:pStyle w:val="noindent"/>
        <w:spacing w:before="240" w:beforeAutospacing="0" w:after="0" w:afterAutospacing="0"/>
        <w:jc w:val="both"/>
        <w:rPr>
          <w:color w:val="000000"/>
        </w:rPr>
      </w:pPr>
      <w:r>
        <w:rPr>
          <w:b/>
          <w:bCs/>
          <w:color w:val="000000"/>
        </w:rPr>
        <w:t>The Person Must Have the Authority to Give Consent</w:t>
      </w:r>
      <w:r>
        <w:rPr>
          <w:rStyle w:val="apple-converted-space"/>
          <w:color w:val="000000"/>
        </w:rPr>
        <w:t> </w:t>
      </w:r>
      <w:r>
        <w:rPr>
          <w:color w:val="000000"/>
        </w:rPr>
        <w:t>The most common situation where consent is given by someone other than the suspect involves occupants of the same residence, such as a spouse or roommate. This type of consent therefore deserves further discussion.</w:t>
      </w:r>
    </w:p>
    <w:p w14:paraId="691C17B9" w14:textId="77777777" w:rsidR="00AC7260" w:rsidRDefault="00AC7260" w:rsidP="00AC7260">
      <w:pPr>
        <w:pStyle w:val="indent"/>
        <w:spacing w:before="0" w:beforeAutospacing="0" w:after="0" w:afterAutospacing="0"/>
        <w:ind w:firstLine="360"/>
        <w:jc w:val="both"/>
        <w:rPr>
          <w:color w:val="000000"/>
        </w:rPr>
      </w:pPr>
      <w:r>
        <w:rPr>
          <w:color w:val="000000"/>
        </w:rPr>
        <w:t>The Supreme Court has held that the warrantless entry of private premises by police officers is valid if based on the</w:t>
      </w:r>
      <w:r>
        <w:rPr>
          <w:rStyle w:val="apple-converted-space"/>
          <w:color w:val="000000"/>
        </w:rPr>
        <w:t> </w:t>
      </w:r>
      <w:hyperlink r:id="rId109" w:anchor="kt7-9" w:history="1">
        <w:r>
          <w:rPr>
            <w:rStyle w:val="Hyperlink"/>
            <w:b/>
            <w:bCs/>
            <w:color w:val="000000"/>
          </w:rPr>
          <w:t>apparent authority principle</w:t>
        </w:r>
      </w:hyperlink>
      <w:r>
        <w:rPr>
          <w:color w:val="000000"/>
        </w:rPr>
        <w:t>. This applies when police obtained the consent of a third party whom they, at the time of entry, reasonably believed to possess common authority over the premise but who, in fact, did not have such authority (</w:t>
      </w:r>
      <w:r>
        <w:rPr>
          <w:rStyle w:val="Emphasis"/>
          <w:color w:val="000000"/>
        </w:rPr>
        <w:t>Illinois v. Rodriguez</w:t>
      </w:r>
      <w:r>
        <w:rPr>
          <w:color w:val="000000"/>
        </w:rPr>
        <w:t>, 497 U.S. 177 [1990]).</w:t>
      </w:r>
    </w:p>
    <w:p w14:paraId="66ED3579" w14:textId="6FD99BFB" w:rsidR="00AC7260" w:rsidRDefault="00AC7260" w:rsidP="009826EC"/>
    <w:p w14:paraId="1A3741B0" w14:textId="77777777" w:rsidR="00AC7260" w:rsidRPr="00AC7260" w:rsidRDefault="00AC7260" w:rsidP="00AC7260">
      <w:pPr>
        <w:rPr>
          <w:rFonts w:ascii="Times New Roman" w:eastAsia="Times New Roman" w:hAnsi="Times New Roman" w:cs="Times New Roman"/>
        </w:rPr>
      </w:pPr>
      <w:r w:rsidRPr="00AC7260">
        <w:rPr>
          <w:rFonts w:ascii="Times New Roman" w:eastAsia="Times New Roman" w:hAnsi="Times New Roman" w:cs="Times New Roman"/>
          <w:b/>
          <w:bCs/>
          <w:color w:val="000000"/>
        </w:rPr>
        <w:t>apparent authority principle</w:t>
      </w:r>
      <w:r w:rsidRPr="00AC7260">
        <w:rPr>
          <w:rFonts w:ascii="Times New Roman" w:eastAsia="Times New Roman" w:hAnsi="Times New Roman" w:cs="Times New Roman"/>
          <w:color w:val="000000"/>
        </w:rPr>
        <w:br/>
      </w:r>
      <w:r w:rsidRPr="00AC7260">
        <w:rPr>
          <w:rFonts w:ascii="Times New Roman" w:eastAsia="Times New Roman" w:hAnsi="Times New Roman" w:cs="Times New Roman"/>
          <w:color w:val="000000"/>
          <w:shd w:val="clear" w:color="auto" w:fill="E7E7E8"/>
        </w:rPr>
        <w:t>appears to have authority but</w:t>
      </w:r>
      <w:proofErr w:type="gramStart"/>
      <w:r w:rsidRPr="00AC7260">
        <w:rPr>
          <w:rFonts w:ascii="Times New Roman" w:eastAsia="Times New Roman" w:hAnsi="Times New Roman" w:cs="Times New Roman"/>
          <w:color w:val="000000"/>
          <w:shd w:val="clear" w:color="auto" w:fill="E7E7E8"/>
        </w:rPr>
        <w:t>, in reality, does</w:t>
      </w:r>
      <w:proofErr w:type="gramEnd"/>
      <w:r w:rsidRPr="00AC7260">
        <w:rPr>
          <w:rFonts w:ascii="Times New Roman" w:eastAsia="Times New Roman" w:hAnsi="Times New Roman" w:cs="Times New Roman"/>
          <w:color w:val="000000"/>
          <w:shd w:val="clear" w:color="auto" w:fill="E7E7E8"/>
        </w:rPr>
        <w:t xml:space="preserve"> not.</w:t>
      </w:r>
    </w:p>
    <w:p w14:paraId="3F8CDD93" w14:textId="77777777" w:rsidR="00AC7260" w:rsidRPr="00AC7260" w:rsidRDefault="00AC7260" w:rsidP="00AC7260">
      <w:pPr>
        <w:ind w:firstLine="360"/>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In </w:t>
      </w:r>
      <w:r w:rsidRPr="00AC7260">
        <w:rPr>
          <w:rFonts w:ascii="Times New Roman" w:eastAsia="Times New Roman" w:hAnsi="Times New Roman" w:cs="Times New Roman"/>
          <w:i/>
          <w:iCs/>
          <w:color w:val="000000"/>
        </w:rPr>
        <w:t>Illinois v. Rodriquez</w:t>
      </w:r>
      <w:r w:rsidRPr="00AC7260">
        <w:rPr>
          <w:rFonts w:ascii="Times New Roman" w:eastAsia="Times New Roman" w:hAnsi="Times New Roman" w:cs="Times New Roman"/>
          <w:color w:val="000000"/>
        </w:rPr>
        <w:t xml:space="preserve">, Rodriguez was arrested in his apartment and charged with possession of illegal drugs that the police said were in plain view when they entered the apartment. The police gained entry to Rodriguez's apartment with the assistance of Fischer, who told the police that the apartment was “ours” and that she had clothes and furniture there. She unlocked the door with her key and gave the officers permission to enter. </w:t>
      </w:r>
      <w:proofErr w:type="gramStart"/>
      <w:r w:rsidRPr="00AC7260">
        <w:rPr>
          <w:rFonts w:ascii="Times New Roman" w:eastAsia="Times New Roman" w:hAnsi="Times New Roman" w:cs="Times New Roman"/>
          <w:color w:val="000000"/>
        </w:rPr>
        <w:t>In reality, Fischer</w:t>
      </w:r>
      <w:proofErr w:type="gramEnd"/>
      <w:r w:rsidRPr="00AC7260">
        <w:rPr>
          <w:rFonts w:ascii="Times New Roman" w:eastAsia="Times New Roman" w:hAnsi="Times New Roman" w:cs="Times New Roman"/>
          <w:color w:val="000000"/>
        </w:rPr>
        <w:t xml:space="preserve"> had moved out of the apartment and therefore no longer had any common authority over the apartment. The Court nonetheless held the consent given by Fischer to be valid because the police reasonably believed, given the circumstances, that she had the authority to give consent.</w:t>
      </w:r>
    </w:p>
    <w:p w14:paraId="1A1D2A18" w14:textId="77777777" w:rsidR="00AC7260" w:rsidRPr="00AC7260" w:rsidRDefault="00AC7260" w:rsidP="00AC7260">
      <w:pPr>
        <w:ind w:firstLine="360"/>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The case of </w:t>
      </w:r>
      <w:r w:rsidRPr="00AC7260">
        <w:rPr>
          <w:rFonts w:ascii="Times New Roman" w:eastAsia="Times New Roman" w:hAnsi="Times New Roman" w:cs="Times New Roman"/>
          <w:i/>
          <w:iCs/>
          <w:color w:val="000000"/>
        </w:rPr>
        <w:t>Georgia v. Randolph</w:t>
      </w:r>
      <w:r w:rsidRPr="00AC7260">
        <w:rPr>
          <w:rFonts w:ascii="Times New Roman" w:eastAsia="Times New Roman" w:hAnsi="Times New Roman" w:cs="Times New Roman"/>
          <w:color w:val="000000"/>
        </w:rPr>
        <w:t>, 547 U.S. 102 (2006), also offers guidance in determining whether consent given by a co-occupant is valid or not. In </w:t>
      </w:r>
      <w:r w:rsidRPr="00AC7260">
        <w:rPr>
          <w:rFonts w:ascii="Times New Roman" w:eastAsia="Times New Roman" w:hAnsi="Times New Roman" w:cs="Times New Roman"/>
          <w:i/>
          <w:iCs/>
          <w:color w:val="000000"/>
        </w:rPr>
        <w:t>Randolph</w:t>
      </w:r>
      <w:r w:rsidRPr="00AC7260">
        <w:rPr>
          <w:rFonts w:ascii="Times New Roman" w:eastAsia="Times New Roman" w:hAnsi="Times New Roman" w:cs="Times New Roman"/>
          <w:color w:val="000000"/>
        </w:rPr>
        <w:t> the Court held the search invalid as to the occupant who specifically refused consent. The majority stated, however, that this ruling does not apply to the following three situations: (1) when “the police must enter a dwelling to protect a resident from domestic violence, so long as they have good reason to believe such a threat exists,” (2) in cases where the purpose of the entry is “to give a complaining tenant the opportunity to collect belongings and get out safely, or to determine whether violence (or threat of violence) has just occurred or is about to (soon will) occur, however much a spouse or other co-tenant objected,” and (3) in cases where the person giving consent is in a position of authority in a “recognized hierarchy,” such as parent and child. See the Case Brief for further details.</w:t>
      </w:r>
    </w:p>
    <w:p w14:paraId="6BE49E74" w14:textId="77777777" w:rsidR="00AC7260" w:rsidRPr="00AC7260" w:rsidRDefault="00AC7260" w:rsidP="00AC7260">
      <w:pPr>
        <w:jc w:val="both"/>
        <w:rPr>
          <w:rFonts w:ascii="Times New Roman" w:eastAsia="Times New Roman" w:hAnsi="Times New Roman" w:cs="Times New Roman"/>
          <w:color w:val="000000"/>
          <w:sz w:val="20"/>
          <w:szCs w:val="20"/>
        </w:rPr>
      </w:pPr>
      <w:r w:rsidRPr="00AC7260">
        <w:rPr>
          <w:rFonts w:ascii="Times New Roman" w:eastAsia="Times New Roman" w:hAnsi="Times New Roman" w:cs="Times New Roman"/>
          <w:i/>
          <w:iCs/>
          <w:color w:val="000000"/>
          <w:sz w:val="20"/>
          <w:szCs w:val="20"/>
        </w:rPr>
        <w:lastRenderedPageBreak/>
        <w:t>Georgia v. Randolph</w:t>
      </w:r>
      <w:r w:rsidRPr="00AC7260">
        <w:rPr>
          <w:rFonts w:ascii="Times New Roman" w:eastAsia="Times New Roman" w:hAnsi="Times New Roman" w:cs="Times New Roman"/>
          <w:color w:val="000000"/>
          <w:sz w:val="20"/>
          <w:szCs w:val="20"/>
        </w:rPr>
        <w:t> (2006)</w:t>
      </w:r>
    </w:p>
    <w:p w14:paraId="3C9FA9C6" w14:textId="77777777" w:rsidR="00AC7260" w:rsidRPr="00AC7260" w:rsidRDefault="00AC7260" w:rsidP="00AC7260">
      <w:pPr>
        <w:ind w:firstLine="360"/>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The Court provided a clarification of the </w:t>
      </w:r>
      <w:r w:rsidRPr="00AC7260">
        <w:rPr>
          <w:rFonts w:ascii="Times New Roman" w:eastAsia="Times New Roman" w:hAnsi="Times New Roman" w:cs="Times New Roman"/>
          <w:i/>
          <w:iCs/>
          <w:color w:val="000000"/>
        </w:rPr>
        <w:t>Randolph</w:t>
      </w:r>
      <w:r w:rsidRPr="00AC7260">
        <w:rPr>
          <w:rFonts w:ascii="Times New Roman" w:eastAsia="Times New Roman" w:hAnsi="Times New Roman" w:cs="Times New Roman"/>
          <w:color w:val="000000"/>
        </w:rPr>
        <w:t> holding in </w:t>
      </w:r>
      <w:r w:rsidRPr="00AC7260">
        <w:rPr>
          <w:rFonts w:ascii="Times New Roman" w:eastAsia="Times New Roman" w:hAnsi="Times New Roman" w:cs="Times New Roman"/>
          <w:i/>
          <w:iCs/>
          <w:color w:val="000000"/>
        </w:rPr>
        <w:t>Fernandez v. California</w:t>
      </w:r>
      <w:r w:rsidRPr="00AC7260">
        <w:rPr>
          <w:rFonts w:ascii="Times New Roman" w:eastAsia="Times New Roman" w:hAnsi="Times New Roman" w:cs="Times New Roman"/>
          <w:color w:val="000000"/>
        </w:rPr>
        <w:t> (2014). In this case, Los Angeles police officers responding to a gang-related robbery chased a suspect, Fernandez, into an apartment building. The officers entered the building, at which point they heard cries of distress coming from an apartment. A woman, Roxanne Rojas, answered the door when the officers knocked, and the officers asked if anyone else was present. Rojas said no. The officers informed Rojas that they were going to conduct a security sweep of the apartment, as she was bruised and bleeding and appeared to have been recently assaulted. Fernandez then came to the door and denied the officers right of entry. The officers arrested Fernandez on charges of domestic assault and removed him from the scene. The officers returned to the apartment later that day and asked Rojas for permission to search the residence, which she gave. The officers then conducted a warrantless search and turned up several incriminating items related to the armed robbery. Fernandez was convicted on a multitude of charges and appealed the decision on the grounds that the search violated his Fourth Amendment rights due to his prior refusal to grant consent. The California Court of Appeals affirmed the conviction.</w:t>
      </w:r>
    </w:p>
    <w:p w14:paraId="5440DE7B" w14:textId="77777777" w:rsidR="00AC7260" w:rsidRPr="00AC7260" w:rsidRDefault="00AC7260" w:rsidP="00AC7260">
      <w:pPr>
        <w:jc w:val="both"/>
        <w:rPr>
          <w:rFonts w:ascii="Times New Roman" w:eastAsia="Times New Roman" w:hAnsi="Times New Roman" w:cs="Times New Roman"/>
          <w:color w:val="000000"/>
          <w:sz w:val="20"/>
          <w:szCs w:val="20"/>
        </w:rPr>
      </w:pPr>
      <w:r w:rsidRPr="00AC7260">
        <w:rPr>
          <w:rFonts w:ascii="Times New Roman" w:eastAsia="Times New Roman" w:hAnsi="Times New Roman" w:cs="Times New Roman"/>
          <w:i/>
          <w:iCs/>
          <w:color w:val="000000"/>
          <w:sz w:val="20"/>
          <w:szCs w:val="20"/>
        </w:rPr>
        <w:t>Fernandez v. California</w:t>
      </w:r>
      <w:r w:rsidRPr="00AC7260">
        <w:rPr>
          <w:rFonts w:ascii="Times New Roman" w:eastAsia="Times New Roman" w:hAnsi="Times New Roman" w:cs="Times New Roman"/>
          <w:color w:val="000000"/>
          <w:sz w:val="20"/>
          <w:szCs w:val="20"/>
        </w:rPr>
        <w:t> (2014)</w:t>
      </w:r>
    </w:p>
    <w:p w14:paraId="57A3EE72" w14:textId="77777777" w:rsidR="00AC7260" w:rsidRPr="00AC7260" w:rsidRDefault="00AC7260" w:rsidP="00AC7260">
      <w:pPr>
        <w:ind w:firstLine="360"/>
        <w:jc w:val="both"/>
        <w:rPr>
          <w:rFonts w:ascii="Times New Roman" w:eastAsia="Times New Roman" w:hAnsi="Times New Roman" w:cs="Times New Roman"/>
          <w:color w:val="000000"/>
        </w:rPr>
      </w:pPr>
      <w:r w:rsidRPr="00AC7260">
        <w:rPr>
          <w:rFonts w:ascii="Times New Roman" w:eastAsia="Times New Roman" w:hAnsi="Times New Roman" w:cs="Times New Roman"/>
          <w:color w:val="000000"/>
        </w:rPr>
        <w:t>The Court affirmed the conviction. The majority opinion asserted that </w:t>
      </w:r>
      <w:r w:rsidRPr="00AC7260">
        <w:rPr>
          <w:rFonts w:ascii="Times New Roman" w:eastAsia="Times New Roman" w:hAnsi="Times New Roman" w:cs="Times New Roman"/>
          <w:i/>
          <w:iCs/>
          <w:color w:val="000000"/>
        </w:rPr>
        <w:t>Randolph</w:t>
      </w:r>
      <w:r w:rsidRPr="00AC7260">
        <w:rPr>
          <w:rFonts w:ascii="Times New Roman" w:eastAsia="Times New Roman" w:hAnsi="Times New Roman" w:cs="Times New Roman"/>
          <w:color w:val="000000"/>
        </w:rPr>
        <w:t> was a limited exception to the general rule of</w:t>
      </w:r>
      <w:r w:rsidRPr="00AC7260">
        <w:rPr>
          <w:rFonts w:ascii="Times New Roman" w:eastAsia="Times New Roman" w:hAnsi="Times New Roman" w:cs="Times New Roman"/>
          <w:i/>
          <w:iCs/>
          <w:color w:val="000000"/>
        </w:rPr>
        <w:t> Matlock</w:t>
      </w:r>
      <w:r w:rsidRPr="00AC7260">
        <w:rPr>
          <w:rFonts w:ascii="Times New Roman" w:eastAsia="Times New Roman" w:hAnsi="Times New Roman" w:cs="Times New Roman"/>
          <w:color w:val="000000"/>
        </w:rPr>
        <w:t>, and that it applies only when an objecting co-occupant is present. Fernandez's removal from the premises allowed for the police to enter because of the subsequent consent of Rojas. The Court did concede that officers cannot arrest a co-occupant for the sole purpose of removing them physically from the scene to gain consent from the remaining co-occupant.</w:t>
      </w:r>
    </w:p>
    <w:p w14:paraId="46FF7C7B" w14:textId="77777777" w:rsidR="00AC7260" w:rsidRPr="00AC7260" w:rsidRDefault="00AC7260" w:rsidP="00AC7260">
      <w:pPr>
        <w:spacing w:before="240"/>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Who Has the Authority to Give Consent?</w:t>
      </w:r>
    </w:p>
    <w:p w14:paraId="0A41E50C" w14:textId="3F411CBA" w:rsidR="00AC7260" w:rsidRDefault="00AC7260" w:rsidP="009826EC"/>
    <w:tbl>
      <w:tblPr>
        <w:tblW w:w="14740" w:type="dxa"/>
        <w:tblCellMar>
          <w:top w:w="15" w:type="dxa"/>
          <w:left w:w="15" w:type="dxa"/>
          <w:bottom w:w="15" w:type="dxa"/>
          <w:right w:w="15" w:type="dxa"/>
        </w:tblCellMar>
        <w:tblLook w:val="04A0" w:firstRow="1" w:lastRow="0" w:firstColumn="1" w:lastColumn="0" w:noHBand="0" w:noVBand="1"/>
      </w:tblPr>
      <w:tblGrid>
        <w:gridCol w:w="2173"/>
        <w:gridCol w:w="2047"/>
        <w:gridCol w:w="10520"/>
      </w:tblGrid>
      <w:tr w:rsidR="00AC7260" w:rsidRPr="00AC7260" w14:paraId="0A738876" w14:textId="77777777" w:rsidTr="00AC7260">
        <w:trPr>
          <w:tblHeader/>
        </w:trPr>
        <w:tc>
          <w:tcPr>
            <w:tcW w:w="0" w:type="auto"/>
            <w:tcBorders>
              <w:bottom w:val="single" w:sz="36" w:space="0" w:color="D1D2D4"/>
            </w:tcBorders>
            <w:tcMar>
              <w:top w:w="45" w:type="dxa"/>
              <w:left w:w="75" w:type="dxa"/>
              <w:bottom w:w="45" w:type="dxa"/>
              <w:right w:w="75" w:type="dxa"/>
            </w:tcMar>
            <w:hideMark/>
          </w:tcPr>
          <w:p w14:paraId="2D8B8A93" w14:textId="77777777" w:rsidR="00AC7260" w:rsidRPr="00AC7260" w:rsidRDefault="00AC7260" w:rsidP="00AC7260">
            <w:pPr>
              <w:spacing w:before="240" w:after="240"/>
              <w:rPr>
                <w:rFonts w:ascii="Times New Roman" w:eastAsia="Times New Roman" w:hAnsi="Times New Roman" w:cs="Times New Roman"/>
                <w:b/>
                <w:bCs/>
                <w:color w:val="000000"/>
              </w:rPr>
            </w:pPr>
            <w:r w:rsidRPr="00AC7260">
              <w:rPr>
                <w:rFonts w:ascii="Times New Roman" w:eastAsia="Times New Roman" w:hAnsi="Times New Roman" w:cs="Times New Roman"/>
                <w:b/>
                <w:bCs/>
                <w:color w:val="000000"/>
              </w:rPr>
              <w:t>Who</w:t>
            </w:r>
          </w:p>
        </w:tc>
        <w:tc>
          <w:tcPr>
            <w:tcW w:w="0" w:type="auto"/>
            <w:tcBorders>
              <w:bottom w:val="single" w:sz="36" w:space="0" w:color="D1D2D4"/>
            </w:tcBorders>
            <w:tcMar>
              <w:top w:w="45" w:type="dxa"/>
              <w:left w:w="75" w:type="dxa"/>
              <w:bottom w:w="45" w:type="dxa"/>
              <w:right w:w="75" w:type="dxa"/>
            </w:tcMar>
            <w:hideMark/>
          </w:tcPr>
          <w:p w14:paraId="5D4FFF32" w14:textId="77777777" w:rsidR="00AC7260" w:rsidRPr="00AC7260" w:rsidRDefault="00AC7260" w:rsidP="00AC7260">
            <w:pPr>
              <w:spacing w:before="240" w:after="240"/>
              <w:rPr>
                <w:rFonts w:ascii="Times New Roman" w:eastAsia="Times New Roman" w:hAnsi="Times New Roman" w:cs="Times New Roman"/>
                <w:b/>
                <w:bCs/>
                <w:color w:val="000000"/>
              </w:rPr>
            </w:pPr>
            <w:r w:rsidRPr="00AC7260">
              <w:rPr>
                <w:rFonts w:ascii="Times New Roman" w:eastAsia="Times New Roman" w:hAnsi="Times New Roman" w:cs="Times New Roman"/>
                <w:b/>
                <w:bCs/>
                <w:color w:val="000000"/>
              </w:rPr>
              <w:t>Authority?</w:t>
            </w:r>
          </w:p>
        </w:tc>
        <w:tc>
          <w:tcPr>
            <w:tcW w:w="0" w:type="auto"/>
            <w:tcBorders>
              <w:bottom w:val="single" w:sz="36" w:space="0" w:color="D1D2D4"/>
            </w:tcBorders>
            <w:tcMar>
              <w:top w:w="45" w:type="dxa"/>
              <w:left w:w="75" w:type="dxa"/>
              <w:bottom w:w="45" w:type="dxa"/>
              <w:right w:w="75" w:type="dxa"/>
            </w:tcMar>
            <w:hideMark/>
          </w:tcPr>
          <w:p w14:paraId="60FDFA2D" w14:textId="77777777" w:rsidR="00AC7260" w:rsidRPr="00AC7260" w:rsidRDefault="00AC7260" w:rsidP="00AC7260">
            <w:pPr>
              <w:spacing w:before="240" w:after="240"/>
              <w:rPr>
                <w:rFonts w:ascii="Times New Roman" w:eastAsia="Times New Roman" w:hAnsi="Times New Roman" w:cs="Times New Roman"/>
                <w:b/>
                <w:bCs/>
                <w:color w:val="000000"/>
              </w:rPr>
            </w:pPr>
            <w:r w:rsidRPr="00AC7260">
              <w:rPr>
                <w:rFonts w:ascii="Times New Roman" w:eastAsia="Times New Roman" w:hAnsi="Times New Roman" w:cs="Times New Roman"/>
                <w:b/>
                <w:bCs/>
                <w:color w:val="000000"/>
              </w:rPr>
              <w:t>Explanation</w:t>
            </w:r>
          </w:p>
        </w:tc>
      </w:tr>
      <w:tr w:rsidR="00AC7260" w:rsidRPr="00AC7260" w14:paraId="6C1B30F5" w14:textId="77777777" w:rsidTr="00AC7260">
        <w:tc>
          <w:tcPr>
            <w:tcW w:w="0" w:type="auto"/>
            <w:tcMar>
              <w:top w:w="45" w:type="dxa"/>
              <w:left w:w="75" w:type="dxa"/>
              <w:bottom w:w="45" w:type="dxa"/>
              <w:right w:w="75" w:type="dxa"/>
            </w:tcMar>
            <w:hideMark/>
          </w:tcPr>
          <w:p w14:paraId="0D46D0DD"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Spouse</w:t>
            </w:r>
          </w:p>
        </w:tc>
        <w:tc>
          <w:tcPr>
            <w:tcW w:w="0" w:type="auto"/>
            <w:tcMar>
              <w:top w:w="45" w:type="dxa"/>
              <w:left w:w="75" w:type="dxa"/>
              <w:bottom w:w="45" w:type="dxa"/>
              <w:right w:w="75" w:type="dxa"/>
            </w:tcMar>
            <w:hideMark/>
          </w:tcPr>
          <w:p w14:paraId="70C77863"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Yes</w:t>
            </w:r>
          </w:p>
        </w:tc>
        <w:tc>
          <w:tcPr>
            <w:tcW w:w="0" w:type="auto"/>
            <w:tcMar>
              <w:top w:w="45" w:type="dxa"/>
              <w:left w:w="75" w:type="dxa"/>
              <w:bottom w:w="45" w:type="dxa"/>
              <w:right w:w="75" w:type="dxa"/>
            </w:tcMar>
            <w:hideMark/>
          </w:tcPr>
          <w:p w14:paraId="2F626075"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A spouse can give effective consent to search the family home. Exception: In </w:t>
            </w:r>
            <w:r w:rsidRPr="00AC7260">
              <w:rPr>
                <w:rFonts w:ascii="Times New Roman" w:eastAsia="Times New Roman" w:hAnsi="Times New Roman" w:cs="Times New Roman"/>
                <w:i/>
                <w:iCs/>
                <w:color w:val="000000"/>
              </w:rPr>
              <w:t>Georgia v. Randolph</w:t>
            </w:r>
            <w:r w:rsidRPr="00AC7260">
              <w:rPr>
                <w:rFonts w:ascii="Times New Roman" w:eastAsia="Times New Roman" w:hAnsi="Times New Roman" w:cs="Times New Roman"/>
                <w:color w:val="000000"/>
              </w:rPr>
              <w:t> (2006), the Court held that “a physically present co-occupant's stated refusal to permit entry renders warrantless entry and search unreasonable and invalid as to him.” In this case, the defendant's estranged wife gave police permission to search their residence for items of drug use after the defendant, who was also present, had unequivocally refused to give consent to the search. The Court ruled that, under the circumstances, the search was unreasonable and invalid.</w:t>
            </w:r>
          </w:p>
        </w:tc>
      </w:tr>
      <w:tr w:rsidR="00AC7260" w:rsidRPr="00AC7260" w14:paraId="6C1086B7" w14:textId="77777777" w:rsidTr="00AC7260">
        <w:tc>
          <w:tcPr>
            <w:tcW w:w="0" w:type="auto"/>
            <w:tcMar>
              <w:top w:w="45" w:type="dxa"/>
              <w:left w:w="75" w:type="dxa"/>
              <w:bottom w:w="45" w:type="dxa"/>
              <w:right w:w="75" w:type="dxa"/>
            </w:tcMar>
            <w:hideMark/>
          </w:tcPr>
          <w:p w14:paraId="6A3219A4"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Former girlfriend or boyfriend</w:t>
            </w:r>
          </w:p>
        </w:tc>
        <w:tc>
          <w:tcPr>
            <w:tcW w:w="0" w:type="auto"/>
            <w:tcMar>
              <w:top w:w="45" w:type="dxa"/>
              <w:left w:w="75" w:type="dxa"/>
              <w:bottom w:w="45" w:type="dxa"/>
              <w:right w:w="75" w:type="dxa"/>
            </w:tcMar>
            <w:hideMark/>
          </w:tcPr>
          <w:p w14:paraId="1F0EA57C"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Yes, if he or she has apparent authority</w:t>
            </w:r>
          </w:p>
        </w:tc>
        <w:tc>
          <w:tcPr>
            <w:tcW w:w="0" w:type="auto"/>
            <w:tcMar>
              <w:top w:w="45" w:type="dxa"/>
              <w:left w:w="75" w:type="dxa"/>
              <w:bottom w:w="45" w:type="dxa"/>
              <w:right w:w="75" w:type="dxa"/>
            </w:tcMar>
            <w:hideMark/>
          </w:tcPr>
          <w:p w14:paraId="0FEF5806"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The Supreme Court has held that the warrantless entry of private premises by police officers is valid if based on the apparent authority principle. This applies when police obtained the consent of a third party whom they, at the time of entry, reasonably believed to possess common authority over the premise but who, in fact, did not have such authority (</w:t>
            </w:r>
            <w:r w:rsidRPr="00AC7260">
              <w:rPr>
                <w:rFonts w:ascii="Times New Roman" w:eastAsia="Times New Roman" w:hAnsi="Times New Roman" w:cs="Times New Roman"/>
                <w:i/>
                <w:iCs/>
                <w:color w:val="000000"/>
              </w:rPr>
              <w:t>Illinois v. Rodriguez</w:t>
            </w:r>
            <w:r w:rsidRPr="00AC7260">
              <w:rPr>
                <w:rFonts w:ascii="Times New Roman" w:eastAsia="Times New Roman" w:hAnsi="Times New Roman" w:cs="Times New Roman"/>
                <w:color w:val="000000"/>
              </w:rPr>
              <w:t>, 497 U.S. 177 [1990]).</w:t>
            </w:r>
          </w:p>
        </w:tc>
      </w:tr>
      <w:tr w:rsidR="00AC7260" w:rsidRPr="00AC7260" w14:paraId="05BAFD22" w14:textId="77777777" w:rsidTr="00AC7260">
        <w:tc>
          <w:tcPr>
            <w:tcW w:w="0" w:type="auto"/>
            <w:tcMar>
              <w:top w:w="45" w:type="dxa"/>
              <w:left w:w="75" w:type="dxa"/>
              <w:bottom w:w="45" w:type="dxa"/>
              <w:right w:w="75" w:type="dxa"/>
            </w:tcMar>
            <w:hideMark/>
          </w:tcPr>
          <w:p w14:paraId="510CFE95"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Roommate</w:t>
            </w:r>
          </w:p>
        </w:tc>
        <w:tc>
          <w:tcPr>
            <w:tcW w:w="0" w:type="auto"/>
            <w:tcMar>
              <w:top w:w="45" w:type="dxa"/>
              <w:left w:w="75" w:type="dxa"/>
              <w:bottom w:w="45" w:type="dxa"/>
              <w:right w:w="75" w:type="dxa"/>
            </w:tcMar>
            <w:hideMark/>
          </w:tcPr>
          <w:p w14:paraId="7A8F8DBD"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Yes, but …</w:t>
            </w:r>
          </w:p>
        </w:tc>
        <w:tc>
          <w:tcPr>
            <w:tcW w:w="0" w:type="auto"/>
            <w:tcMar>
              <w:top w:w="45" w:type="dxa"/>
              <w:left w:w="75" w:type="dxa"/>
              <w:bottom w:w="45" w:type="dxa"/>
              <w:right w:w="75" w:type="dxa"/>
            </w:tcMar>
            <w:hideMark/>
          </w:tcPr>
          <w:p w14:paraId="703D9646"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 xml:space="preserve">A roommate may give valid consent to search the room. However, that consent cannot extend to areas in which another roommate has a reasonable expectation of privacy, because only he or she uses it. For example, suppose Joe gives consent for the police to search the studio apartment Joe and Fred occupy. That </w:t>
            </w:r>
            <w:r w:rsidRPr="00AC7260">
              <w:rPr>
                <w:rFonts w:ascii="Times New Roman" w:eastAsia="Times New Roman" w:hAnsi="Times New Roman" w:cs="Times New Roman"/>
                <w:color w:val="000000"/>
              </w:rPr>
              <w:lastRenderedPageBreak/>
              <w:t>consent is valid with respect to all areas that both Joe and Fred use, such as the bathroom or study table. The consent is not valid for the search of Fred's closet, to which only Fred has access. If Fred lives in another room (as in a multi-room apartment), Joe cannot give consent to search the room used only by Fred.</w:t>
            </w:r>
          </w:p>
        </w:tc>
      </w:tr>
      <w:tr w:rsidR="00AC7260" w:rsidRPr="00AC7260" w14:paraId="065CCF49" w14:textId="77777777" w:rsidTr="00AC7260">
        <w:tc>
          <w:tcPr>
            <w:tcW w:w="0" w:type="auto"/>
            <w:tcMar>
              <w:top w:w="45" w:type="dxa"/>
              <w:left w:w="75" w:type="dxa"/>
              <w:bottom w:w="45" w:type="dxa"/>
              <w:right w:w="75" w:type="dxa"/>
            </w:tcMar>
            <w:hideMark/>
          </w:tcPr>
          <w:p w14:paraId="718DC502"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lastRenderedPageBreak/>
              <w:t>Landlord</w:t>
            </w:r>
          </w:p>
        </w:tc>
        <w:tc>
          <w:tcPr>
            <w:tcW w:w="0" w:type="auto"/>
            <w:tcMar>
              <w:top w:w="45" w:type="dxa"/>
              <w:left w:w="75" w:type="dxa"/>
              <w:bottom w:w="45" w:type="dxa"/>
              <w:right w:w="75" w:type="dxa"/>
            </w:tcMar>
            <w:hideMark/>
          </w:tcPr>
          <w:p w14:paraId="66CBDEC0"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No</w:t>
            </w:r>
          </w:p>
        </w:tc>
        <w:tc>
          <w:tcPr>
            <w:tcW w:w="0" w:type="auto"/>
            <w:tcMar>
              <w:top w:w="45" w:type="dxa"/>
              <w:left w:w="75" w:type="dxa"/>
              <w:bottom w:w="45" w:type="dxa"/>
              <w:right w:w="75" w:type="dxa"/>
            </w:tcMar>
            <w:hideMark/>
          </w:tcPr>
          <w:p w14:paraId="362D63DC"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A landlord cannot give valid consent to search property that he or she has rented to another person (</w:t>
            </w:r>
            <w:r w:rsidRPr="00AC7260">
              <w:rPr>
                <w:rFonts w:ascii="Times New Roman" w:eastAsia="Times New Roman" w:hAnsi="Times New Roman" w:cs="Times New Roman"/>
                <w:i/>
                <w:iCs/>
                <w:color w:val="000000"/>
              </w:rPr>
              <w:t>Stoner v. California</w:t>
            </w:r>
            <w:r w:rsidRPr="00AC7260">
              <w:rPr>
                <w:rFonts w:ascii="Times New Roman" w:eastAsia="Times New Roman" w:hAnsi="Times New Roman" w:cs="Times New Roman"/>
                <w:color w:val="000000"/>
              </w:rPr>
              <w:t>, 376 U.S. 483 [1964]).</w:t>
            </w:r>
          </w:p>
        </w:tc>
      </w:tr>
      <w:tr w:rsidR="00AC7260" w:rsidRPr="00AC7260" w14:paraId="2963DC00" w14:textId="77777777" w:rsidTr="00AC7260">
        <w:tc>
          <w:tcPr>
            <w:tcW w:w="0" w:type="auto"/>
            <w:tcMar>
              <w:top w:w="45" w:type="dxa"/>
              <w:left w:w="75" w:type="dxa"/>
              <w:bottom w:w="45" w:type="dxa"/>
              <w:right w:w="75" w:type="dxa"/>
            </w:tcMar>
            <w:hideMark/>
          </w:tcPr>
          <w:p w14:paraId="3188C743"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Lessor</w:t>
            </w:r>
          </w:p>
        </w:tc>
        <w:tc>
          <w:tcPr>
            <w:tcW w:w="0" w:type="auto"/>
            <w:tcMar>
              <w:top w:w="45" w:type="dxa"/>
              <w:left w:w="75" w:type="dxa"/>
              <w:bottom w:w="45" w:type="dxa"/>
              <w:right w:w="75" w:type="dxa"/>
            </w:tcMar>
            <w:hideMark/>
          </w:tcPr>
          <w:p w14:paraId="67512177"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No</w:t>
            </w:r>
          </w:p>
        </w:tc>
        <w:tc>
          <w:tcPr>
            <w:tcW w:w="0" w:type="auto"/>
            <w:tcMar>
              <w:top w:w="45" w:type="dxa"/>
              <w:left w:w="75" w:type="dxa"/>
              <w:bottom w:w="45" w:type="dxa"/>
              <w:right w:w="75" w:type="dxa"/>
            </w:tcMar>
            <w:hideMark/>
          </w:tcPr>
          <w:p w14:paraId="2E7DC10D"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Generally, a lessor (the person who leased out the property) cannot give valid consent to search the premises of a property leased to another person.</w:t>
            </w:r>
          </w:p>
        </w:tc>
      </w:tr>
      <w:tr w:rsidR="00AC7260" w:rsidRPr="00AC7260" w14:paraId="6826A778" w14:textId="77777777" w:rsidTr="00AC7260">
        <w:tc>
          <w:tcPr>
            <w:tcW w:w="0" w:type="auto"/>
            <w:tcMar>
              <w:top w:w="45" w:type="dxa"/>
              <w:left w:w="75" w:type="dxa"/>
              <w:bottom w:w="45" w:type="dxa"/>
              <w:right w:w="75" w:type="dxa"/>
            </w:tcMar>
            <w:hideMark/>
          </w:tcPr>
          <w:p w14:paraId="76FBC264"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Apartment manager</w:t>
            </w:r>
          </w:p>
        </w:tc>
        <w:tc>
          <w:tcPr>
            <w:tcW w:w="0" w:type="auto"/>
            <w:tcMar>
              <w:top w:w="45" w:type="dxa"/>
              <w:left w:w="75" w:type="dxa"/>
              <w:bottom w:w="45" w:type="dxa"/>
              <w:right w:w="75" w:type="dxa"/>
            </w:tcMar>
            <w:hideMark/>
          </w:tcPr>
          <w:p w14:paraId="335D60BA"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Yes</w:t>
            </w:r>
          </w:p>
        </w:tc>
        <w:tc>
          <w:tcPr>
            <w:tcW w:w="0" w:type="auto"/>
            <w:tcMar>
              <w:top w:w="45" w:type="dxa"/>
              <w:left w:w="75" w:type="dxa"/>
              <w:bottom w:w="45" w:type="dxa"/>
              <w:right w:w="75" w:type="dxa"/>
            </w:tcMar>
            <w:hideMark/>
          </w:tcPr>
          <w:p w14:paraId="205496B7"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 xml:space="preserve">The consent of an apartment manager to the warrantless search of apartment building common areas (such as public hallways and lobbies) is valid </w:t>
            </w:r>
            <w:proofErr w:type="gramStart"/>
            <w:r w:rsidRPr="00AC7260">
              <w:rPr>
                <w:rFonts w:ascii="Times New Roman" w:eastAsia="Times New Roman" w:hAnsi="Times New Roman" w:cs="Times New Roman"/>
                <w:color w:val="000000"/>
              </w:rPr>
              <w:t>as long as</w:t>
            </w:r>
            <w:proofErr w:type="gramEnd"/>
            <w:r w:rsidRPr="00AC7260">
              <w:rPr>
                <w:rFonts w:ascii="Times New Roman" w:eastAsia="Times New Roman" w:hAnsi="Times New Roman" w:cs="Times New Roman"/>
                <w:color w:val="000000"/>
              </w:rPr>
              <w:t xml:space="preserve"> the landlord has joint access to or control over those areas.</w:t>
            </w:r>
          </w:p>
        </w:tc>
      </w:tr>
      <w:tr w:rsidR="00AC7260" w:rsidRPr="00AC7260" w14:paraId="2C53AEA8" w14:textId="77777777" w:rsidTr="00AC7260">
        <w:tc>
          <w:tcPr>
            <w:tcW w:w="0" w:type="auto"/>
            <w:tcMar>
              <w:top w:w="45" w:type="dxa"/>
              <w:left w:w="75" w:type="dxa"/>
              <w:bottom w:w="45" w:type="dxa"/>
              <w:right w:w="75" w:type="dxa"/>
            </w:tcMar>
            <w:hideMark/>
          </w:tcPr>
          <w:p w14:paraId="2DF3A141"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Driver of a vehicle</w:t>
            </w:r>
          </w:p>
        </w:tc>
        <w:tc>
          <w:tcPr>
            <w:tcW w:w="0" w:type="auto"/>
            <w:tcMar>
              <w:top w:w="45" w:type="dxa"/>
              <w:left w:w="75" w:type="dxa"/>
              <w:bottom w:w="45" w:type="dxa"/>
              <w:right w:w="75" w:type="dxa"/>
            </w:tcMar>
            <w:hideMark/>
          </w:tcPr>
          <w:p w14:paraId="767DFB59"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Yes</w:t>
            </w:r>
          </w:p>
        </w:tc>
        <w:tc>
          <w:tcPr>
            <w:tcW w:w="0" w:type="auto"/>
            <w:tcMar>
              <w:top w:w="45" w:type="dxa"/>
              <w:left w:w="75" w:type="dxa"/>
              <w:bottom w:w="45" w:type="dxa"/>
              <w:right w:w="75" w:type="dxa"/>
            </w:tcMar>
            <w:hideMark/>
          </w:tcPr>
          <w:p w14:paraId="5A208323"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The consent given by the driver of a vehicle for the search of the vehicle, including the trunk, glove compartment, and other areas, is valid even if the driver is not the owner of the vehicle.</w:t>
            </w:r>
          </w:p>
        </w:tc>
      </w:tr>
      <w:tr w:rsidR="00AC7260" w:rsidRPr="00AC7260" w14:paraId="357EAB34" w14:textId="77777777" w:rsidTr="00AC7260">
        <w:tc>
          <w:tcPr>
            <w:tcW w:w="0" w:type="auto"/>
            <w:tcMar>
              <w:top w:w="45" w:type="dxa"/>
              <w:left w:w="75" w:type="dxa"/>
              <w:bottom w:w="45" w:type="dxa"/>
              <w:right w:w="75" w:type="dxa"/>
            </w:tcMar>
            <w:hideMark/>
          </w:tcPr>
          <w:p w14:paraId="21602DD0"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College and university administrators</w:t>
            </w:r>
          </w:p>
        </w:tc>
        <w:tc>
          <w:tcPr>
            <w:tcW w:w="0" w:type="auto"/>
            <w:tcMar>
              <w:top w:w="45" w:type="dxa"/>
              <w:left w:w="75" w:type="dxa"/>
              <w:bottom w:w="45" w:type="dxa"/>
              <w:right w:w="75" w:type="dxa"/>
            </w:tcMar>
            <w:hideMark/>
          </w:tcPr>
          <w:p w14:paraId="01CA42AF"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No</w:t>
            </w:r>
          </w:p>
        </w:tc>
        <w:tc>
          <w:tcPr>
            <w:tcW w:w="0" w:type="auto"/>
            <w:tcMar>
              <w:top w:w="45" w:type="dxa"/>
              <w:left w:w="75" w:type="dxa"/>
              <w:bottom w:w="45" w:type="dxa"/>
              <w:right w:w="75" w:type="dxa"/>
            </w:tcMar>
            <w:hideMark/>
          </w:tcPr>
          <w:p w14:paraId="476CD6F1"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Most lower courts hold that college administrators (such as dormitory managers) cannot give consent for the police to search a student's dormitory room. The fact that some resident or dormitory managers may enter a student's room for certain purposes (such as health and safety issues) does not mean that they can give consent for the police to enter a student's room for purposes related to criminal prosecution. This issue, however, has not been authoritatively settled by the Supreme Court.</w:t>
            </w:r>
          </w:p>
        </w:tc>
      </w:tr>
      <w:tr w:rsidR="00AC7260" w:rsidRPr="00AC7260" w14:paraId="75536567" w14:textId="77777777" w:rsidTr="00AC7260">
        <w:tc>
          <w:tcPr>
            <w:tcW w:w="0" w:type="auto"/>
            <w:tcMar>
              <w:top w:w="45" w:type="dxa"/>
              <w:left w:w="75" w:type="dxa"/>
              <w:bottom w:w="45" w:type="dxa"/>
              <w:right w:w="75" w:type="dxa"/>
            </w:tcMar>
            <w:hideMark/>
          </w:tcPr>
          <w:p w14:paraId="577AB797"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High school administrators</w:t>
            </w:r>
          </w:p>
        </w:tc>
        <w:tc>
          <w:tcPr>
            <w:tcW w:w="0" w:type="auto"/>
            <w:tcMar>
              <w:top w:w="45" w:type="dxa"/>
              <w:left w:w="75" w:type="dxa"/>
              <w:bottom w:w="45" w:type="dxa"/>
              <w:right w:w="75" w:type="dxa"/>
            </w:tcMar>
            <w:hideMark/>
          </w:tcPr>
          <w:p w14:paraId="19E2038F"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Yes</w:t>
            </w:r>
          </w:p>
        </w:tc>
        <w:tc>
          <w:tcPr>
            <w:tcW w:w="0" w:type="auto"/>
            <w:tcMar>
              <w:top w:w="45" w:type="dxa"/>
              <w:left w:w="75" w:type="dxa"/>
              <w:bottom w:w="45" w:type="dxa"/>
              <w:right w:w="75" w:type="dxa"/>
            </w:tcMar>
            <w:hideMark/>
          </w:tcPr>
          <w:p w14:paraId="0EAF476A" w14:textId="77777777" w:rsidR="00AC7260" w:rsidRPr="00AC7260" w:rsidRDefault="00AC7260" w:rsidP="00AC7260">
            <w:pPr>
              <w:spacing w:before="240" w:after="240"/>
              <w:rPr>
                <w:rFonts w:ascii="Times New Roman" w:eastAsia="Times New Roman" w:hAnsi="Times New Roman" w:cs="Times New Roman"/>
                <w:color w:val="000000"/>
              </w:rPr>
            </w:pPr>
            <w:r w:rsidRPr="00AC7260">
              <w:rPr>
                <w:rFonts w:ascii="Times New Roman" w:eastAsia="Times New Roman" w:hAnsi="Times New Roman" w:cs="Times New Roman"/>
                <w:color w:val="000000"/>
              </w:rPr>
              <w:t>Most lower courts hold that high school administrators, under proper circumstances, may give consent for the police to search a student's locker. This is because high school students are considered wards of the school. Therefore, the authority given to high school administrators is greater than that afforded to their college counterparts.</w:t>
            </w:r>
          </w:p>
        </w:tc>
      </w:tr>
    </w:tbl>
    <w:p w14:paraId="69CA3782" w14:textId="77777777" w:rsidR="00AC7260" w:rsidRDefault="00AC7260" w:rsidP="00AC7260">
      <w:pPr>
        <w:shd w:val="clear" w:color="auto" w:fill="CFD0D2"/>
        <w:rPr>
          <w:b/>
          <w:bCs/>
          <w:color w:val="000000"/>
          <w:sz w:val="31"/>
          <w:szCs w:val="31"/>
        </w:rPr>
      </w:pPr>
      <w:hyperlink r:id="rId110" w:anchor="toc-brief7-1" w:history="1">
        <w:r>
          <w:rPr>
            <w:rStyle w:val="Hyperlink"/>
            <w:b/>
            <w:bCs/>
            <w:color w:val="FFFFFF"/>
            <w:sz w:val="40"/>
            <w:szCs w:val="40"/>
            <w:shd w:val="clear" w:color="auto" w:fill="6D6E71"/>
          </w:rPr>
          <w:t>CASE BRIEF</w:t>
        </w:r>
        <w:r>
          <w:rPr>
            <w:rStyle w:val="Hyperlink"/>
            <w:b/>
            <w:bCs/>
            <w:sz w:val="31"/>
            <w:szCs w:val="31"/>
          </w:rPr>
          <w:t> </w:t>
        </w:r>
        <w:r>
          <w:rPr>
            <w:rStyle w:val="Emphasis"/>
            <w:b/>
            <w:bCs/>
            <w:color w:val="000000"/>
            <w:sz w:val="31"/>
            <w:szCs w:val="31"/>
          </w:rPr>
          <w:t>Georgia v. Randolph</w:t>
        </w:r>
        <w:r>
          <w:rPr>
            <w:rStyle w:val="Hyperlink"/>
            <w:b/>
            <w:bCs/>
            <w:color w:val="000000"/>
            <w:sz w:val="31"/>
            <w:szCs w:val="31"/>
          </w:rPr>
          <w:t>, 547 U.S. 103 (2006)</w:t>
        </w:r>
      </w:hyperlink>
    </w:p>
    <w:p w14:paraId="0DC055EA" w14:textId="77777777" w:rsidR="00AC7260" w:rsidRDefault="00AC7260" w:rsidP="00AC7260">
      <w:pPr>
        <w:pStyle w:val="noindent1"/>
        <w:spacing w:before="240" w:beforeAutospacing="0" w:after="48" w:afterAutospacing="0"/>
        <w:jc w:val="both"/>
        <w:rPr>
          <w:color w:val="000000"/>
        </w:rPr>
      </w:pPr>
      <w:r>
        <w:rPr>
          <w:color w:val="000000"/>
          <w:sz w:val="36"/>
          <w:szCs w:val="36"/>
        </w:rPr>
        <w:t> </w:t>
      </w:r>
      <w:r>
        <w:rPr>
          <w:b/>
          <w:bCs/>
          <w:color w:val="000000"/>
          <w:sz w:val="36"/>
          <w:szCs w:val="36"/>
        </w:rPr>
        <w:t>The Leading Case on Consent Given by a Co-Occupant of a Shared Dwelling</w:t>
      </w:r>
    </w:p>
    <w:p w14:paraId="26ACA3C3" w14:textId="77777777" w:rsidR="00AC7260" w:rsidRDefault="00AC7260" w:rsidP="00AC7260">
      <w:pPr>
        <w:pStyle w:val="noindent1"/>
        <w:spacing w:before="240" w:beforeAutospacing="0" w:after="48" w:afterAutospacing="0"/>
        <w:jc w:val="both"/>
        <w:rPr>
          <w:color w:val="000000"/>
        </w:rPr>
      </w:pPr>
      <w:r>
        <w:rPr>
          <w:b/>
          <w:bCs/>
          <w:color w:val="000000"/>
        </w:rPr>
        <w:lastRenderedPageBreak/>
        <w:t>Facts:</w:t>
      </w:r>
      <w:r>
        <w:rPr>
          <w:rStyle w:val="apple-converted-space"/>
          <w:color w:val="000000"/>
        </w:rPr>
        <w:t> </w:t>
      </w:r>
      <w:r>
        <w:rPr>
          <w:color w:val="000000"/>
        </w:rPr>
        <w:t xml:space="preserve">Janet Randolph notified police of a domestic dispute and informed them that her husband, Scott Randolph, had just taken their son away. When officers responded, the wife told them her husband was a cocaine user. Shortly after the police arrived at the </w:t>
      </w:r>
      <w:proofErr w:type="spellStart"/>
      <w:r>
        <w:rPr>
          <w:color w:val="000000"/>
        </w:rPr>
        <w:t>Randolphs</w:t>
      </w:r>
      <w:proofErr w:type="spellEnd"/>
      <w:r>
        <w:rPr>
          <w:color w:val="000000"/>
        </w:rPr>
        <w:t xml:space="preserve">' residence, Scott Randolph returned. He denied using cocaine, saying it was his wife who abused drugs. Later, the wife reaffirmed Randolph's drug use and told police there was “drug evidence” in the house. An officer asked Randolph for permission to search the house, which he unequivocally denied. The officer then asked the wife for consent to search, which she readily gave. She led officers to Randolph's bedroom. The officers found a section of a drinking straw with a powdery residue suspected to be cocaine. Officers then contacted the district attorney's office. The office instructed them to stop the search and apply for a warrant. When the officers returned to the house, the wife withdrew her consent. The police took the straw to the police station, along with the </w:t>
      </w:r>
      <w:proofErr w:type="spellStart"/>
      <w:r>
        <w:rPr>
          <w:color w:val="000000"/>
        </w:rPr>
        <w:t>Randolphs</w:t>
      </w:r>
      <w:proofErr w:type="spellEnd"/>
      <w:r>
        <w:rPr>
          <w:color w:val="000000"/>
        </w:rPr>
        <w:t>. After obtaining a search warrant, officers returned to the house and seized further evidence of drug use. Randolph was indicted for possession of cocaine and convicted in the trial court. He appealed his conviction, saying the evidence against him was illegally seized against his consent.</w:t>
      </w:r>
    </w:p>
    <w:p w14:paraId="48133AB1" w14:textId="77777777" w:rsidR="00AC7260" w:rsidRDefault="00AC7260" w:rsidP="00AC7260">
      <w:pPr>
        <w:pStyle w:val="noindent1"/>
        <w:spacing w:before="240" w:beforeAutospacing="0" w:after="48" w:afterAutospacing="0"/>
        <w:jc w:val="both"/>
        <w:rPr>
          <w:color w:val="000000"/>
        </w:rPr>
      </w:pPr>
      <w:r>
        <w:rPr>
          <w:b/>
          <w:bCs/>
          <w:color w:val="000000"/>
        </w:rPr>
        <w:t>Issue or Issues:</w:t>
      </w:r>
      <w:r>
        <w:rPr>
          <w:rStyle w:val="apple-converted-space"/>
          <w:color w:val="000000"/>
        </w:rPr>
        <w:t> </w:t>
      </w:r>
      <w:r>
        <w:rPr>
          <w:rStyle w:val="Emphasis"/>
          <w:color w:val="000000"/>
        </w:rPr>
        <w:t>Is a warrantless search of a shared dwelling valid when one occupant gives consent but another occupant who is present expressly refuses to give consent?</w:t>
      </w:r>
      <w:r>
        <w:rPr>
          <w:rStyle w:val="apple-converted-space"/>
          <w:color w:val="000000"/>
        </w:rPr>
        <w:t> </w:t>
      </w:r>
      <w:r>
        <w:rPr>
          <w:color w:val="000000"/>
        </w:rPr>
        <w:t>No.</w:t>
      </w:r>
    </w:p>
    <w:p w14:paraId="24BF83C0" w14:textId="77777777" w:rsidR="00AC7260" w:rsidRDefault="00AC7260" w:rsidP="00AC7260">
      <w:pPr>
        <w:pStyle w:val="noindent1"/>
        <w:spacing w:before="240" w:beforeAutospacing="0" w:after="48" w:afterAutospacing="0"/>
        <w:jc w:val="both"/>
        <w:rPr>
          <w:color w:val="000000"/>
        </w:rPr>
      </w:pPr>
      <w:r>
        <w:rPr>
          <w:b/>
          <w:bCs/>
          <w:color w:val="000000"/>
        </w:rPr>
        <w:t>Decision:</w:t>
      </w:r>
      <w:r>
        <w:rPr>
          <w:rStyle w:val="apple-converted-space"/>
          <w:color w:val="000000"/>
        </w:rPr>
        <w:t> </w:t>
      </w:r>
      <w:r>
        <w:rPr>
          <w:color w:val="000000"/>
        </w:rPr>
        <w:t>The judgment of the Supreme Court of Georgia was affirmed.</w:t>
      </w:r>
    </w:p>
    <w:p w14:paraId="622E225B" w14:textId="77777777" w:rsidR="00AC7260" w:rsidRDefault="00AC7260" w:rsidP="00AC7260">
      <w:pPr>
        <w:pStyle w:val="noindent1"/>
        <w:spacing w:before="240" w:beforeAutospacing="0" w:after="48" w:afterAutospacing="0"/>
        <w:jc w:val="both"/>
        <w:rPr>
          <w:color w:val="000000"/>
        </w:rPr>
      </w:pPr>
      <w:r>
        <w:rPr>
          <w:b/>
          <w:bCs/>
          <w:color w:val="000000"/>
        </w:rPr>
        <w:t>Holding:</w:t>
      </w:r>
      <w:r>
        <w:rPr>
          <w:rStyle w:val="apple-converted-space"/>
          <w:color w:val="000000"/>
        </w:rPr>
        <w:t> </w:t>
      </w:r>
      <w:r>
        <w:rPr>
          <w:color w:val="000000"/>
        </w:rPr>
        <w:t xml:space="preserve">A warrantless search of a shared dwelling for evidence over the clear refusal of consent by a physically present resident cannot be justified as reasonable as to him </w:t>
      </w:r>
      <w:proofErr w:type="gramStart"/>
      <w:r>
        <w:rPr>
          <w:color w:val="000000"/>
        </w:rPr>
        <w:t>on the basis of</w:t>
      </w:r>
      <w:proofErr w:type="gramEnd"/>
      <w:r>
        <w:rPr>
          <w:color w:val="000000"/>
        </w:rPr>
        <w:t xml:space="preserve"> consent given to the police by another resident.</w:t>
      </w:r>
    </w:p>
    <w:p w14:paraId="1EE8F373" w14:textId="77777777" w:rsidR="00AC7260" w:rsidRDefault="00AC7260" w:rsidP="00AC7260">
      <w:pPr>
        <w:pStyle w:val="noindent1"/>
        <w:spacing w:before="240" w:beforeAutospacing="0" w:after="48" w:afterAutospacing="0"/>
        <w:jc w:val="both"/>
        <w:rPr>
          <w:color w:val="000000"/>
        </w:rPr>
      </w:pPr>
      <w:r>
        <w:rPr>
          <w:b/>
          <w:bCs/>
          <w:color w:val="000000"/>
        </w:rPr>
        <w:t>Case Significance:</w:t>
      </w:r>
      <w:r>
        <w:rPr>
          <w:rStyle w:val="apple-converted-space"/>
          <w:color w:val="000000"/>
        </w:rPr>
        <w:t> </w:t>
      </w:r>
      <w:r>
        <w:rPr>
          <w:color w:val="000000"/>
        </w:rPr>
        <w:t>Consent is an exception to the Fourth Amendment rule requiring probable cause and a warrant in search and seizure cases. In previous cases, the Court recognized the validity of searches based on voluntary consent of an individual who shares common authority over property to be searched. None of the co-occupant</w:t>
      </w:r>
      <w:r>
        <w:rPr>
          <w:rStyle w:val="apple-converted-space"/>
          <w:color w:val="000000"/>
        </w:rPr>
        <w:t> </w:t>
      </w:r>
      <w:r>
        <w:rPr>
          <w:color w:val="000000"/>
        </w:rPr>
        <w:t>consent-to-search cases, however, included the circumstances of a second occupant physically present and refusing permission to search. This case resolves an issue that was not previously addressed by the Court: whether consent by an occupant of a dwelling over the expressed objection of another occupant authorizes the police to conduct a warrantless search. Previous U.S. Supreme Court cases said one consent sufficed. In previous cases, however, the other occupant was either away or did not expressly refuse consent. In this case, the other occupant (the husband) was present and specifically refused to give consent.</w:t>
      </w:r>
    </w:p>
    <w:p w14:paraId="69D035F3" w14:textId="77777777" w:rsidR="00AC7260" w:rsidRDefault="00AC7260" w:rsidP="00AC7260">
      <w:pPr>
        <w:pStyle w:val="indent1"/>
        <w:spacing w:before="240" w:beforeAutospacing="0" w:after="48" w:afterAutospacing="0"/>
        <w:ind w:firstLine="360"/>
        <w:jc w:val="both"/>
        <w:rPr>
          <w:color w:val="000000"/>
        </w:rPr>
      </w:pPr>
      <w:r>
        <w:rPr>
          <w:color w:val="000000"/>
        </w:rPr>
        <w:t>The Court held the search invalid as to the occupant who specifically refused consent. The majority stated, however, that this ruling does not apply to the following three situations: (1) when “the police must enter a dwelling to protect a resident from domestic violence, so long as they have good reason to believe such a threat exists,” (2) in cases where the purpose of the entry is “to give a complaining tenant the opportunity to collect belongings and get out safely, or to determine whether violence (or threat of violence) has just occurred or is about to (soon will) occur, however much a spouse or other co-tenant objected,” and (3) in cases where the person giving consent is in a position of authority in a “recognized hierarchy,” such as parent and child or “barracks housing military personnel of different grades.”</w:t>
      </w:r>
    </w:p>
    <w:p w14:paraId="73B2ADCD" w14:textId="77777777" w:rsidR="00AC7260" w:rsidRDefault="00AC7260" w:rsidP="00AC7260">
      <w:pPr>
        <w:pStyle w:val="noindent1"/>
        <w:spacing w:before="240" w:beforeAutospacing="0" w:after="48" w:afterAutospacing="0"/>
        <w:jc w:val="both"/>
        <w:rPr>
          <w:color w:val="000000"/>
        </w:rPr>
      </w:pPr>
      <w:r>
        <w:rPr>
          <w:b/>
          <w:bCs/>
          <w:color w:val="000000"/>
        </w:rPr>
        <w:t>Excerpts from the Decision:</w:t>
      </w:r>
      <w:r>
        <w:rPr>
          <w:rStyle w:val="apple-converted-space"/>
          <w:color w:val="000000"/>
        </w:rPr>
        <w:t> </w:t>
      </w:r>
      <w:r>
        <w:rPr>
          <w:color w:val="000000"/>
        </w:rPr>
        <w:t xml:space="preserve">[It] is fair to say that a caller standing at the door of shared premises would have no confidence that one occupant's invitation was a sufficiently good reason to enter </w:t>
      </w:r>
      <w:r>
        <w:rPr>
          <w:color w:val="000000"/>
        </w:rPr>
        <w:lastRenderedPageBreak/>
        <w:t xml:space="preserve">when a fellow tenant stood there saying, “Stay out.” Without some very good reason, no sensible person would go inside under those conditions…. The visitor's reticence without some such good reason would show not timidity but a realization that when people living together disagree over the use of their common quarters, a resolution must come through voluntary accommodation, not by appeals to authority…. Since the co-tenant wishing to open the door to a third party has no recognized authority in law or social practice to prevail over a present and objecting co-tenant, his disputed invitation, without more, gives a police officer no better claim to reasonableness in entering than the officer would have in the absence of any consent at all…. So long as there is no evidence that the police have removed the potentially objecting tenant from the entrance for the sake of avoiding a possible objection, there is practical value in the simple clarity of complementary rules, one recognizing the co-tenant's permission when there is no fellow occupant on hand, the other </w:t>
      </w:r>
      <w:proofErr w:type="gramStart"/>
      <w:r>
        <w:rPr>
          <w:color w:val="000000"/>
        </w:rPr>
        <w:t>according</w:t>
      </w:r>
      <w:proofErr w:type="gramEnd"/>
      <w:r>
        <w:rPr>
          <w:color w:val="000000"/>
        </w:rPr>
        <w:t xml:space="preserve"> dispositive weight to the fellow occupant's contrary indication when he expresses it.</w:t>
      </w:r>
    </w:p>
    <w:p w14:paraId="3FF7EC4E" w14:textId="28C27B59" w:rsidR="00AC7260" w:rsidRDefault="00AC7260" w:rsidP="009826EC"/>
    <w:p w14:paraId="459898AA" w14:textId="77777777" w:rsidR="00AC7260" w:rsidRDefault="00AC7260" w:rsidP="00AC7260">
      <w:pPr>
        <w:pStyle w:val="Heading3"/>
        <w:spacing w:before="240" w:after="120"/>
        <w:rPr>
          <w:color w:val="000000"/>
          <w:sz w:val="29"/>
          <w:szCs w:val="29"/>
        </w:rPr>
      </w:pPr>
      <w:hyperlink r:id="rId111" w:anchor="toc-ch7-21" w:history="1">
        <w:r>
          <w:rPr>
            <w:color w:val="000000"/>
            <w:sz w:val="29"/>
            <w:szCs w:val="29"/>
          </w:rPr>
          <w:br/>
        </w:r>
        <w:r>
          <w:rPr>
            <w:rStyle w:val="Hyperlink"/>
            <w:color w:val="000000"/>
            <w:sz w:val="29"/>
            <w:szCs w:val="29"/>
            <w:u w:val="none"/>
          </w:rPr>
          <w:t>The Search Incident to Lawful Arrest Exception</w:t>
        </w:r>
      </w:hyperlink>
    </w:p>
    <w:p w14:paraId="0A25883B" w14:textId="77777777" w:rsidR="00AC7260" w:rsidRDefault="00AC7260" w:rsidP="00AC7260">
      <w:pPr>
        <w:pStyle w:val="noindent"/>
        <w:spacing w:before="0" w:beforeAutospacing="0" w:after="0" w:afterAutospacing="0"/>
        <w:jc w:val="both"/>
        <w:rPr>
          <w:color w:val="000000"/>
        </w:rPr>
      </w:pPr>
      <w:r>
        <w:rPr>
          <w:color w:val="000000"/>
        </w:rPr>
        <w:t>The search incident to lawful arrest exception is widely used in policing. It is used almost every time an officer makes an arrest, with or without a warrant. There are three justifications for warrantless searches incident to arrest: (1) to ensure officer safety (2) to prevent escape, and (3) to prevent the destruction of evidence. The authorization to search incident to arrest is always available to the officer after an arrest, even if there is no probable cause to believe it is necessary to ensure officer safety, to prevent escape, or to prevent concealment or destruction of evidence. These searches take two forms: body search and search of the area within the person's immediate control. To be legal, searches must be contemporaneous with the arrest.</w:t>
      </w:r>
    </w:p>
    <w:p w14:paraId="5CE7E412" w14:textId="77777777" w:rsidR="00AC7260" w:rsidRDefault="00AC7260" w:rsidP="00AC7260">
      <w:pPr>
        <w:pStyle w:val="indent"/>
        <w:spacing w:before="0" w:beforeAutospacing="0" w:after="0" w:afterAutospacing="0"/>
        <w:ind w:firstLine="360"/>
        <w:jc w:val="both"/>
        <w:rPr>
          <w:color w:val="000000"/>
        </w:rPr>
      </w:pPr>
      <w:r>
        <w:rPr>
          <w:color w:val="000000"/>
        </w:rPr>
        <w:t>See the Case Brief of</w:t>
      </w:r>
      <w:r>
        <w:rPr>
          <w:rStyle w:val="apple-converted-space"/>
          <w:color w:val="000000"/>
        </w:rPr>
        <w:t> </w:t>
      </w:r>
      <w:r>
        <w:rPr>
          <w:rStyle w:val="Emphasis"/>
          <w:color w:val="000000"/>
        </w:rPr>
        <w:t>Chimel v. California</w:t>
      </w:r>
      <w:r>
        <w:rPr>
          <w:color w:val="000000"/>
        </w:rPr>
        <w:t>, a leading case on searches after arrest, for a discussion of the</w:t>
      </w:r>
      <w:r>
        <w:rPr>
          <w:rStyle w:val="apple-converted-space"/>
          <w:color w:val="000000"/>
        </w:rPr>
        <w:t> </w:t>
      </w:r>
      <w:hyperlink r:id="rId112" w:anchor="kt7-10" w:history="1">
        <w:r>
          <w:rPr>
            <w:rStyle w:val="Emphasis"/>
            <w:b/>
            <w:bCs/>
            <w:color w:val="000000"/>
          </w:rPr>
          <w:t>Chimel</w:t>
        </w:r>
        <w:r>
          <w:rPr>
            <w:rStyle w:val="apple-converted-space"/>
            <w:b/>
            <w:bCs/>
            <w:color w:val="000000"/>
          </w:rPr>
          <w:t> </w:t>
        </w:r>
        <w:r>
          <w:rPr>
            <w:rStyle w:val="Hyperlink"/>
            <w:b/>
            <w:bCs/>
            <w:color w:val="000000"/>
            <w:u w:val="none"/>
          </w:rPr>
          <w:t>rule</w:t>
        </w:r>
      </w:hyperlink>
      <w:r>
        <w:rPr>
          <w:color w:val="000000"/>
        </w:rPr>
        <w:t>. The</w:t>
      </w:r>
      <w:r>
        <w:rPr>
          <w:rStyle w:val="apple-converted-space"/>
          <w:color w:val="000000"/>
        </w:rPr>
        <w:t> </w:t>
      </w:r>
      <w:r>
        <w:rPr>
          <w:rStyle w:val="Emphasis"/>
          <w:color w:val="000000"/>
        </w:rPr>
        <w:t>Chimel</w:t>
      </w:r>
      <w:r>
        <w:rPr>
          <w:rStyle w:val="apple-converted-space"/>
          <w:color w:val="000000"/>
        </w:rPr>
        <w:t> </w:t>
      </w:r>
      <w:r>
        <w:rPr>
          <w:color w:val="000000"/>
        </w:rPr>
        <w:t>rule states that after a valid arrest, police officers may search the arrestee's “area of immediate control.”</w:t>
      </w:r>
    </w:p>
    <w:p w14:paraId="47257FEC" w14:textId="77777777" w:rsidR="00AC7260" w:rsidRDefault="00AC7260" w:rsidP="00AC7260">
      <w:pPr>
        <w:pStyle w:val="key"/>
        <w:shd w:val="clear" w:color="auto" w:fill="E7E7E8"/>
        <w:spacing w:before="48" w:beforeAutospacing="0" w:after="0" w:afterAutospacing="0"/>
        <w:jc w:val="both"/>
        <w:rPr>
          <w:color w:val="000000"/>
        </w:rPr>
      </w:pPr>
      <w:r>
        <w:rPr>
          <w:rStyle w:val="Emphasis"/>
          <w:b/>
          <w:bCs/>
          <w:color w:val="000000"/>
        </w:rPr>
        <w:t>Chimel</w:t>
      </w:r>
      <w:r>
        <w:rPr>
          <w:rStyle w:val="apple-converted-space"/>
          <w:b/>
          <w:bCs/>
          <w:color w:val="000000"/>
        </w:rPr>
        <w:t> </w:t>
      </w:r>
      <w:r>
        <w:rPr>
          <w:b/>
          <w:bCs/>
          <w:color w:val="000000"/>
        </w:rPr>
        <w:t>rule</w:t>
      </w:r>
      <w:r>
        <w:rPr>
          <w:color w:val="000000"/>
        </w:rPr>
        <w:br/>
        <w:t>a rule that allows police officers after an arrest to search the arrestee's “area of immediate control.”</w:t>
      </w:r>
    </w:p>
    <w:p w14:paraId="04A96478" w14:textId="77777777" w:rsidR="00AC7260" w:rsidRDefault="00AC7260" w:rsidP="00AC7260">
      <w:pPr>
        <w:pStyle w:val="indent"/>
        <w:spacing w:before="0" w:beforeAutospacing="0" w:after="0" w:afterAutospacing="0"/>
        <w:ind w:firstLine="360"/>
        <w:jc w:val="both"/>
        <w:rPr>
          <w:color w:val="000000"/>
        </w:rPr>
      </w:pPr>
      <w:r>
        <w:rPr>
          <w:color w:val="000000"/>
        </w:rPr>
        <w:t>Searches incident to a lawful arrest is discussed more extensively in</w:t>
      </w:r>
      <w:r>
        <w:rPr>
          <w:rStyle w:val="apple-converted-space"/>
          <w:color w:val="000000"/>
        </w:rPr>
        <w:t> </w:t>
      </w:r>
      <w:hyperlink r:id="rId113" w:anchor="ch6" w:history="1">
        <w:r>
          <w:rPr>
            <w:rStyle w:val="Hyperlink"/>
            <w:u w:val="none"/>
          </w:rPr>
          <w:t>Chapter 6</w:t>
        </w:r>
      </w:hyperlink>
      <w:r>
        <w:rPr>
          <w:color w:val="000000"/>
        </w:rPr>
        <w:t>, because it is best and more logically discussed there. The rules, however, are exactly the same as the rules that apply to searches and seizures of things in this chapter, and so the reader is asked to refer to</w:t>
      </w:r>
      <w:r>
        <w:rPr>
          <w:rStyle w:val="apple-converted-space"/>
          <w:color w:val="000000"/>
        </w:rPr>
        <w:t> </w:t>
      </w:r>
      <w:hyperlink r:id="rId114" w:anchor="ch6" w:history="1">
        <w:r>
          <w:rPr>
            <w:rStyle w:val="Hyperlink"/>
            <w:u w:val="none"/>
          </w:rPr>
          <w:t>Chapter 6</w:t>
        </w:r>
      </w:hyperlink>
      <w:r>
        <w:rPr>
          <w:rStyle w:val="apple-converted-space"/>
          <w:color w:val="000000"/>
        </w:rPr>
        <w:t> </w:t>
      </w:r>
      <w:r>
        <w:rPr>
          <w:color w:val="000000"/>
        </w:rPr>
        <w:t>for a more detailed discussion of this type of search and seizure.</w:t>
      </w:r>
    </w:p>
    <w:p w14:paraId="717FFA00" w14:textId="03672FB6" w:rsidR="00AC7260" w:rsidRDefault="00AC7260" w:rsidP="00AC7260">
      <w:pPr>
        <w:shd w:val="clear" w:color="auto" w:fill="CFD0D2"/>
        <w:rPr>
          <w:b/>
          <w:bCs/>
          <w:color w:val="000000"/>
          <w:sz w:val="31"/>
          <w:szCs w:val="31"/>
        </w:rPr>
      </w:pPr>
      <w:hyperlink r:id="rId115" w:anchor="toc-brief7-2" w:history="1">
        <w:r>
          <w:rPr>
            <w:b/>
            <w:bCs/>
            <w:color w:val="0000FF"/>
            <w:sz w:val="31"/>
            <w:szCs w:val="31"/>
          </w:rPr>
          <w:fldChar w:fldCharType="begin"/>
        </w:r>
        <w:r>
          <w:rPr>
            <w:b/>
            <w:bCs/>
            <w:color w:val="0000FF"/>
            <w:sz w:val="31"/>
            <w:szCs w:val="31"/>
          </w:rPr>
          <w:instrText xml:space="preserve"> INCLUDEPICTURE "/var/folders/56/wnp8pdsd019fkrmvxtft5_b00000gn/T/com.microsoft.Word/WebArchiveCopyPasteTempFiles/cbrief.jpg" \* MERGEFORMATINET </w:instrText>
        </w:r>
        <w:r>
          <w:rPr>
            <w:b/>
            <w:bCs/>
            <w:color w:val="0000FF"/>
            <w:sz w:val="31"/>
            <w:szCs w:val="31"/>
          </w:rPr>
          <w:fldChar w:fldCharType="separate"/>
        </w:r>
        <w:r>
          <w:rPr>
            <w:b/>
            <w:bCs/>
            <w:noProof/>
            <w:color w:val="0000FF"/>
            <w:sz w:val="31"/>
            <w:szCs w:val="31"/>
          </w:rPr>
          <w:drawing>
            <wp:inline distT="0" distB="0" distL="0" distR="0" wp14:anchorId="1B1D1418" wp14:editId="4F9788C8">
              <wp:extent cx="814705" cy="1093470"/>
              <wp:effectExtent l="0" t="0" r="0" b="0"/>
              <wp:docPr id="2" name="Picture 2" descr="A picture containing scal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ale, device&#10;&#10;Description automatically generated"/>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14705" cy="1093470"/>
                      </a:xfrm>
                      <a:prstGeom prst="rect">
                        <a:avLst/>
                      </a:prstGeom>
                      <a:noFill/>
                      <a:ln>
                        <a:noFill/>
                      </a:ln>
                    </pic:spPr>
                  </pic:pic>
                </a:graphicData>
              </a:graphic>
            </wp:inline>
          </w:drawing>
        </w:r>
        <w:r>
          <w:rPr>
            <w:b/>
            <w:bCs/>
            <w:color w:val="0000FF"/>
            <w:sz w:val="31"/>
            <w:szCs w:val="31"/>
          </w:rPr>
          <w:fldChar w:fldCharType="end"/>
        </w:r>
        <w:r>
          <w:rPr>
            <w:rStyle w:val="Hyperlink"/>
            <w:b/>
            <w:bCs/>
            <w:color w:val="FFFFFF"/>
            <w:sz w:val="40"/>
            <w:szCs w:val="40"/>
            <w:u w:val="none"/>
            <w:shd w:val="clear" w:color="auto" w:fill="6D6E71"/>
          </w:rPr>
          <w:t>CASE BRIEF</w:t>
        </w:r>
        <w:r>
          <w:rPr>
            <w:rStyle w:val="Hyperlink"/>
            <w:b/>
            <w:bCs/>
            <w:sz w:val="31"/>
            <w:szCs w:val="31"/>
            <w:u w:val="none"/>
          </w:rPr>
          <w:t> </w:t>
        </w:r>
        <w:r>
          <w:rPr>
            <w:rStyle w:val="Emphasis"/>
            <w:b/>
            <w:bCs/>
            <w:color w:val="000000"/>
            <w:sz w:val="31"/>
            <w:szCs w:val="31"/>
          </w:rPr>
          <w:t>Chimel v. California</w:t>
        </w:r>
        <w:r>
          <w:rPr>
            <w:rStyle w:val="Hyperlink"/>
            <w:b/>
            <w:bCs/>
            <w:color w:val="000000"/>
            <w:sz w:val="31"/>
            <w:szCs w:val="31"/>
            <w:u w:val="none"/>
          </w:rPr>
          <w:t>, 395 U.S. 752 (1969)</w:t>
        </w:r>
      </w:hyperlink>
    </w:p>
    <w:p w14:paraId="55A6CADC" w14:textId="77777777" w:rsidR="00AC7260" w:rsidRDefault="00AC7260" w:rsidP="00AC7260">
      <w:pPr>
        <w:pStyle w:val="noindent1"/>
        <w:spacing w:before="240" w:beforeAutospacing="0" w:after="48" w:afterAutospacing="0"/>
        <w:jc w:val="both"/>
        <w:rPr>
          <w:color w:val="000000"/>
        </w:rPr>
      </w:pPr>
      <w:r>
        <w:rPr>
          <w:color w:val="000000"/>
          <w:sz w:val="36"/>
          <w:szCs w:val="36"/>
        </w:rPr>
        <w:t> </w:t>
      </w:r>
      <w:r>
        <w:rPr>
          <w:b/>
          <w:bCs/>
          <w:color w:val="000000"/>
          <w:sz w:val="36"/>
          <w:szCs w:val="36"/>
        </w:rPr>
        <w:t>The Leading Case on a Search Incident to an Arrest</w:t>
      </w:r>
    </w:p>
    <w:p w14:paraId="7AC1334F" w14:textId="77777777" w:rsidR="00AC7260" w:rsidRDefault="00AC7260" w:rsidP="00AC7260">
      <w:pPr>
        <w:pStyle w:val="noindent1"/>
        <w:spacing w:before="240" w:beforeAutospacing="0" w:after="48" w:afterAutospacing="0"/>
        <w:jc w:val="both"/>
        <w:rPr>
          <w:color w:val="000000"/>
        </w:rPr>
      </w:pPr>
      <w:r>
        <w:rPr>
          <w:b/>
          <w:bCs/>
          <w:color w:val="000000"/>
        </w:rPr>
        <w:lastRenderedPageBreak/>
        <w:t>Facts:</w:t>
      </w:r>
      <w:r>
        <w:rPr>
          <w:rStyle w:val="apple-converted-space"/>
          <w:color w:val="000000"/>
        </w:rPr>
        <w:t> </w:t>
      </w:r>
      <w:r>
        <w:rPr>
          <w:color w:val="000000"/>
        </w:rPr>
        <w:t>Chimel was suspected of having robbed a coin shop. Armed with an arrest warrant (but not a search warrant), police officers went to Chimel's house and were admitted by his wife. Chimel was not at home but was immediately arrested when he arrived. The police asked Chimel if they could “look around.” Chimel denied the request, but the officers searched the entire house anyway and discovered some stolen coins. At the trial, the coins were introduced as evidence over Chimel's objection. Chimel was convicted of robbery. He appealed to the Supreme Court of California, which upheld his conviction. He then took his case to the United States Supreme Court.</w:t>
      </w:r>
    </w:p>
    <w:p w14:paraId="60DA5249" w14:textId="77777777" w:rsidR="00AC7260" w:rsidRDefault="00AC7260" w:rsidP="00AC7260">
      <w:pPr>
        <w:pStyle w:val="noindent1"/>
        <w:spacing w:before="240" w:beforeAutospacing="0" w:after="48" w:afterAutospacing="0"/>
        <w:jc w:val="both"/>
        <w:rPr>
          <w:color w:val="000000"/>
        </w:rPr>
      </w:pPr>
      <w:r>
        <w:rPr>
          <w:b/>
          <w:bCs/>
          <w:color w:val="000000"/>
        </w:rPr>
        <w:t>Issue or Issues:</w:t>
      </w:r>
      <w:r>
        <w:rPr>
          <w:rStyle w:val="apple-converted-space"/>
          <w:color w:val="000000"/>
        </w:rPr>
        <w:t> </w:t>
      </w:r>
      <w:proofErr w:type="gramStart"/>
      <w:r>
        <w:rPr>
          <w:rStyle w:val="Emphasis"/>
          <w:color w:val="000000"/>
        </w:rPr>
        <w:t>In the course of</w:t>
      </w:r>
      <w:proofErr w:type="gramEnd"/>
      <w:r>
        <w:rPr>
          <w:rStyle w:val="Emphasis"/>
          <w:color w:val="000000"/>
        </w:rPr>
        <w:t xml:space="preserve"> making a lawful arrest, may officers search the immediate area where the person was arrested without a search warrant?</w:t>
      </w:r>
      <w:r>
        <w:rPr>
          <w:rStyle w:val="apple-converted-space"/>
          <w:color w:val="000000"/>
        </w:rPr>
        <w:t> </w:t>
      </w:r>
      <w:r>
        <w:rPr>
          <w:color w:val="000000"/>
        </w:rPr>
        <w:t>Yes.</w:t>
      </w:r>
    </w:p>
    <w:p w14:paraId="3293ACA3" w14:textId="77777777" w:rsidR="00AC7260" w:rsidRDefault="00AC7260" w:rsidP="00AC7260">
      <w:pPr>
        <w:pStyle w:val="noindent1"/>
        <w:spacing w:before="240" w:beforeAutospacing="0" w:after="48" w:afterAutospacing="0"/>
        <w:jc w:val="both"/>
        <w:rPr>
          <w:color w:val="000000"/>
        </w:rPr>
      </w:pPr>
      <w:r>
        <w:rPr>
          <w:b/>
          <w:bCs/>
          <w:color w:val="000000"/>
        </w:rPr>
        <w:t>Holding:</w:t>
      </w:r>
      <w:r>
        <w:rPr>
          <w:rStyle w:val="apple-converted-space"/>
          <w:color w:val="000000"/>
        </w:rPr>
        <w:t> </w:t>
      </w:r>
      <w:r>
        <w:rPr>
          <w:color w:val="000000"/>
        </w:rPr>
        <w:t>After making an arrest, the police may search the area within the person's immediate control. The purpose of such a search is to discover and remove weapons and to prevent the destruction of evidence.</w:t>
      </w:r>
    </w:p>
    <w:p w14:paraId="6652B531" w14:textId="77777777" w:rsidR="00AC7260" w:rsidRDefault="00AC7260" w:rsidP="00AC7260">
      <w:pPr>
        <w:pStyle w:val="noindent1"/>
        <w:spacing w:before="240" w:beforeAutospacing="0" w:after="48" w:afterAutospacing="0"/>
        <w:jc w:val="both"/>
        <w:rPr>
          <w:color w:val="000000"/>
        </w:rPr>
      </w:pPr>
      <w:r>
        <w:rPr>
          <w:b/>
          <w:bCs/>
          <w:color w:val="000000"/>
        </w:rPr>
        <w:t>Case Significance:</w:t>
      </w:r>
      <w:r>
        <w:rPr>
          <w:rStyle w:val="apple-converted-space"/>
          <w:color w:val="000000"/>
        </w:rPr>
        <w:t> </w:t>
      </w:r>
      <w:r>
        <w:rPr>
          <w:rStyle w:val="Emphasis"/>
          <w:color w:val="000000"/>
        </w:rPr>
        <w:t>Chimel</w:t>
      </w:r>
      <w:r>
        <w:rPr>
          <w:rStyle w:val="apple-converted-space"/>
          <w:color w:val="000000"/>
        </w:rPr>
        <w:t> </w:t>
      </w:r>
      <w:r>
        <w:rPr>
          <w:color w:val="000000"/>
        </w:rPr>
        <w:t>categorically states that the police may search the area in the arrestee's “immediate control” when making a valid arrest, whether the arrest takes place with or without a warrant. That area of immediate control is defined by the Court as “the area from within which he might gain possession of a weapon or destructible evidence.”</w:t>
      </w:r>
      <w:r>
        <w:rPr>
          <w:rStyle w:val="apple-converted-space"/>
          <w:color w:val="000000"/>
        </w:rPr>
        <w:t> </w:t>
      </w:r>
      <w:r>
        <w:rPr>
          <w:rStyle w:val="Emphasis"/>
          <w:color w:val="000000"/>
        </w:rPr>
        <w:t>Chimel</w:t>
      </w:r>
      <w:r>
        <w:rPr>
          <w:rStyle w:val="apple-converted-space"/>
          <w:color w:val="000000"/>
        </w:rPr>
        <w:t> </w:t>
      </w:r>
      <w:r>
        <w:rPr>
          <w:color w:val="000000"/>
        </w:rPr>
        <w:t>authoritatively settled an issue over which lower courts had given inconsistent rulings. The current rule is that the police may search without a warrant after a lawful arrest, but the extent of that search is limited to the area of the arrestee's immediate control. The safest, and most limited, interpretation of the term area of immediate control is a person's wingspan, within which it might be possible to grab a weapon or destroy evidence. Some lower courts have given a more liberal interpretation to include such areas as the whole room in which the person is arrested. This interpretation appears to go beyond what the Court had in mind in</w:t>
      </w:r>
      <w:r>
        <w:rPr>
          <w:rStyle w:val="apple-converted-space"/>
          <w:color w:val="000000"/>
        </w:rPr>
        <w:t> </w:t>
      </w:r>
      <w:r>
        <w:rPr>
          <w:rStyle w:val="Emphasis"/>
          <w:color w:val="000000"/>
        </w:rPr>
        <w:t>Chimel.</w:t>
      </w:r>
    </w:p>
    <w:p w14:paraId="0DFDF9B0" w14:textId="77777777" w:rsidR="00AC7260" w:rsidRDefault="00AC7260" w:rsidP="00AC7260">
      <w:pPr>
        <w:pStyle w:val="noindent1"/>
        <w:spacing w:before="240" w:beforeAutospacing="0" w:after="48" w:afterAutospacing="0"/>
        <w:jc w:val="both"/>
        <w:rPr>
          <w:color w:val="000000"/>
        </w:rPr>
      </w:pPr>
      <w:r>
        <w:rPr>
          <w:b/>
          <w:bCs/>
          <w:color w:val="000000"/>
        </w:rPr>
        <w:t>Excerpts from the Opinion:</w:t>
      </w:r>
      <w:r>
        <w:rPr>
          <w:rStyle w:val="apple-converted-space"/>
          <w:color w:val="000000"/>
        </w:rPr>
        <w:t> </w:t>
      </w:r>
      <w:r>
        <w:rPr>
          <w:color w:val="000000"/>
        </w:rPr>
        <w:t xml:space="preserve">When an arrest is made, it is reasonable for the arresting officer to search the person arrested </w:t>
      </w:r>
      <w:proofErr w:type="gramStart"/>
      <w:r>
        <w:rPr>
          <w:color w:val="000000"/>
        </w:rPr>
        <w:t>in order to</w:t>
      </w:r>
      <w:proofErr w:type="gramEnd"/>
      <w:r>
        <w:rPr>
          <w:color w:val="000000"/>
        </w:rPr>
        <w:t xml:space="preserve"> remove any weapons that the latter might seek to use in order to resist arrest or effect his escape. Otherwise, the officer's safety might well be endangered, and the arrest itself frustrated. In addition, it is entirely reasonable for the arresting officer to search for and seize any evidence on the arrestee's person </w:t>
      </w:r>
      <w:proofErr w:type="gramStart"/>
      <w:r>
        <w:rPr>
          <w:color w:val="000000"/>
        </w:rPr>
        <w:t>in order to</w:t>
      </w:r>
      <w:proofErr w:type="gramEnd"/>
      <w:r>
        <w:rPr>
          <w:color w:val="000000"/>
        </w:rPr>
        <w:t xml:space="preserve"> prevent its concealment or destruction. And the area into which an arrestee might reach </w:t>
      </w:r>
      <w:proofErr w:type="gramStart"/>
      <w:r>
        <w:rPr>
          <w:color w:val="000000"/>
        </w:rPr>
        <w:t>in order to</w:t>
      </w:r>
      <w:proofErr w:type="gramEnd"/>
      <w:r>
        <w:rPr>
          <w:color w:val="000000"/>
        </w:rPr>
        <w:t xml:space="preserve"> grab a weapon or evidentiary items must, of course, be governed by a like rule…. There is ample justification, therefore, for a search of the arrestee's person and the area within his immediate control.</w:t>
      </w:r>
    </w:p>
    <w:p w14:paraId="5E20360F" w14:textId="77777777" w:rsidR="00AC7260" w:rsidRDefault="00AC7260" w:rsidP="00AC7260">
      <w:pPr>
        <w:pStyle w:val="Heading3"/>
        <w:spacing w:before="240" w:after="120"/>
        <w:rPr>
          <w:color w:val="000000"/>
          <w:sz w:val="29"/>
          <w:szCs w:val="29"/>
        </w:rPr>
      </w:pPr>
      <w:hyperlink r:id="rId117" w:anchor="toc-ch7-22" w:history="1">
        <w:r>
          <w:rPr>
            <w:color w:val="000000"/>
            <w:sz w:val="29"/>
            <w:szCs w:val="29"/>
          </w:rPr>
          <w:br/>
        </w:r>
        <w:r>
          <w:rPr>
            <w:rStyle w:val="Hyperlink"/>
            <w:color w:val="000000"/>
            <w:sz w:val="29"/>
            <w:szCs w:val="29"/>
            <w:u w:val="none"/>
          </w:rPr>
          <w:t>The Exigent Circumstances Exception</w:t>
        </w:r>
      </w:hyperlink>
    </w:p>
    <w:p w14:paraId="14C6B44B" w14:textId="77777777" w:rsidR="00AC7260" w:rsidRDefault="00AC7260" w:rsidP="00AC7260">
      <w:pPr>
        <w:pStyle w:val="noindent"/>
        <w:spacing w:before="0" w:beforeAutospacing="0" w:after="0" w:afterAutospacing="0"/>
        <w:jc w:val="both"/>
        <w:rPr>
          <w:color w:val="000000"/>
        </w:rPr>
      </w:pPr>
      <w:r>
        <w:rPr>
          <w:color w:val="000000"/>
        </w:rPr>
        <w:t>The</w:t>
      </w:r>
      <w:r>
        <w:rPr>
          <w:rStyle w:val="apple-converted-space"/>
          <w:color w:val="000000"/>
        </w:rPr>
        <w:t> </w:t>
      </w:r>
      <w:hyperlink r:id="rId118" w:anchor="kt7-11" w:history="1">
        <w:r>
          <w:rPr>
            <w:rStyle w:val="Hyperlink"/>
            <w:b/>
            <w:bCs/>
            <w:color w:val="000000"/>
            <w:u w:val="none"/>
          </w:rPr>
          <w:t>exigent circumstances</w:t>
        </w:r>
      </w:hyperlink>
      <w:r>
        <w:rPr>
          <w:rStyle w:val="apple-converted-space"/>
          <w:color w:val="000000"/>
        </w:rPr>
        <w:t> </w:t>
      </w:r>
      <w:r>
        <w:rPr>
          <w:color w:val="000000"/>
        </w:rPr>
        <w:t xml:space="preserve">exception is a general catchall category that encompasses a number of diverse situations. What they have in common is </w:t>
      </w:r>
      <w:proofErr w:type="gramStart"/>
      <w:r>
        <w:rPr>
          <w:color w:val="000000"/>
        </w:rPr>
        <w:t>some kind of an</w:t>
      </w:r>
      <w:proofErr w:type="gramEnd"/>
      <w:r>
        <w:rPr>
          <w:color w:val="000000"/>
        </w:rPr>
        <w:t xml:space="preserve"> emergency that makes getting a search warrant impractical, useless, dangerous, or unnecessary. Discussed next are four illustrative situations that fall under exigent circumstances. They are danger of physical harm to the officer or destruction of evidence, searches in hot pursuit of dangerous suspects, danger to a third person, and driving while intoxicated.</w:t>
      </w:r>
    </w:p>
    <w:p w14:paraId="25FF68BB" w14:textId="77777777" w:rsidR="00AC7260" w:rsidRDefault="00AC7260" w:rsidP="00AC7260">
      <w:pPr>
        <w:pStyle w:val="key"/>
        <w:shd w:val="clear" w:color="auto" w:fill="E7E7E8"/>
        <w:spacing w:before="48" w:beforeAutospacing="0" w:after="0" w:afterAutospacing="0"/>
        <w:jc w:val="both"/>
        <w:rPr>
          <w:color w:val="000000"/>
        </w:rPr>
      </w:pPr>
      <w:r>
        <w:rPr>
          <w:b/>
          <w:bCs/>
          <w:color w:val="000000"/>
        </w:rPr>
        <w:lastRenderedPageBreak/>
        <w:t>exigent circumstances</w:t>
      </w:r>
      <w:r>
        <w:rPr>
          <w:color w:val="000000"/>
        </w:rPr>
        <w:br/>
      </w:r>
      <w:proofErr w:type="gramStart"/>
      <w:r>
        <w:rPr>
          <w:color w:val="000000"/>
        </w:rPr>
        <w:t>some kind of an</w:t>
      </w:r>
      <w:proofErr w:type="gramEnd"/>
      <w:r>
        <w:rPr>
          <w:color w:val="000000"/>
        </w:rPr>
        <w:t xml:space="preserve"> emergency that makes getting a search warrant impractical, useless, dangerous, or unnecessary.</w:t>
      </w:r>
    </w:p>
    <w:p w14:paraId="52618C59" w14:textId="77777777" w:rsidR="00AC7260" w:rsidRDefault="00AC7260" w:rsidP="00AC7260">
      <w:pPr>
        <w:pStyle w:val="noindent"/>
        <w:spacing w:before="240" w:beforeAutospacing="0" w:after="0" w:afterAutospacing="0"/>
        <w:jc w:val="both"/>
        <w:rPr>
          <w:color w:val="000000"/>
        </w:rPr>
      </w:pPr>
      <w:r>
        <w:rPr>
          <w:b/>
          <w:bCs/>
          <w:color w:val="000000"/>
        </w:rPr>
        <w:t>Danger of Physical Harm to the Officer or Destruction of Evidence</w:t>
      </w:r>
      <w:r>
        <w:rPr>
          <w:rStyle w:val="apple-converted-space"/>
          <w:color w:val="000000"/>
        </w:rPr>
        <w:t> </w:t>
      </w:r>
      <w:proofErr w:type="gramStart"/>
      <w:r>
        <w:rPr>
          <w:color w:val="000000"/>
        </w:rPr>
        <w:t>The</w:t>
      </w:r>
      <w:proofErr w:type="gramEnd"/>
      <w:r>
        <w:rPr>
          <w:color w:val="000000"/>
        </w:rPr>
        <w:t xml:space="preserve"> Court has implied that a warrantless search may be justified if there are reasonable grounds to believe that delaying the search until the warrant is obtained would endanger the physical safety of the officer or would allow the destruction or removal of the evidence (</w:t>
      </w:r>
      <w:r>
        <w:rPr>
          <w:rStyle w:val="Emphasis"/>
          <w:color w:val="000000"/>
        </w:rPr>
        <w:t>Vale v. Louisiana</w:t>
      </w:r>
      <w:r>
        <w:rPr>
          <w:color w:val="000000"/>
        </w:rPr>
        <w:t>, 399 U.S. 30 [1970]). However, in</w:t>
      </w:r>
      <w:r>
        <w:rPr>
          <w:rStyle w:val="apple-converted-space"/>
          <w:color w:val="000000"/>
        </w:rPr>
        <w:t> </w:t>
      </w:r>
      <w:r>
        <w:rPr>
          <w:rStyle w:val="Emphasis"/>
          <w:color w:val="000000"/>
        </w:rPr>
        <w:t>Vale</w:t>
      </w:r>
      <w:r>
        <w:rPr>
          <w:color w:val="000000"/>
        </w:rPr>
        <w:t>, the Supreme Court did not</w:t>
      </w:r>
      <w:r>
        <w:rPr>
          <w:rStyle w:val="apple-converted-space"/>
          <w:color w:val="000000"/>
        </w:rPr>
        <w:t> </w:t>
      </w:r>
      <w:r>
        <w:rPr>
          <w:color w:val="000000"/>
        </w:rPr>
        <w:t>allow a warrantless search when there was</w:t>
      </w:r>
      <w:r>
        <w:rPr>
          <w:rStyle w:val="apple-converted-space"/>
          <w:color w:val="000000"/>
        </w:rPr>
        <w:t> </w:t>
      </w:r>
      <w:r>
        <w:rPr>
          <w:rStyle w:val="Emphasis"/>
          <w:color w:val="000000"/>
        </w:rPr>
        <w:t>merely a possibility</w:t>
      </w:r>
      <w:r>
        <w:rPr>
          <w:rStyle w:val="apple-converted-space"/>
          <w:color w:val="000000"/>
        </w:rPr>
        <w:t> </w:t>
      </w:r>
      <w:r>
        <w:rPr>
          <w:color w:val="000000"/>
        </w:rPr>
        <w:t>that the evidence would be destroyed. Thus,</w:t>
      </w:r>
      <w:r>
        <w:rPr>
          <w:rStyle w:val="apple-converted-space"/>
          <w:color w:val="000000"/>
        </w:rPr>
        <w:t> </w:t>
      </w:r>
      <w:r>
        <w:rPr>
          <w:rStyle w:val="Emphasis"/>
          <w:color w:val="000000"/>
        </w:rPr>
        <w:t>Vale</w:t>
      </w:r>
      <w:r>
        <w:rPr>
          <w:rStyle w:val="apple-converted-space"/>
          <w:color w:val="000000"/>
        </w:rPr>
        <w:t> </w:t>
      </w:r>
      <w:r>
        <w:rPr>
          <w:color w:val="000000"/>
        </w:rPr>
        <w:t>has a narrow interpretation: The threat of danger or destruction must be real or imminent.</w:t>
      </w:r>
    </w:p>
    <w:p w14:paraId="035217F0"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Vale v. Louisiana</w:t>
      </w:r>
      <w:r>
        <w:rPr>
          <w:rStyle w:val="apple-converted-space"/>
          <w:color w:val="000000"/>
          <w:sz w:val="20"/>
          <w:szCs w:val="20"/>
        </w:rPr>
        <w:t> </w:t>
      </w:r>
      <w:r>
        <w:rPr>
          <w:color w:val="000000"/>
          <w:sz w:val="20"/>
          <w:szCs w:val="20"/>
        </w:rPr>
        <w:t>(1970)</w:t>
      </w:r>
    </w:p>
    <w:p w14:paraId="7F6D1159" w14:textId="77777777" w:rsidR="00AC7260" w:rsidRDefault="00AC7260" w:rsidP="00AC7260">
      <w:pPr>
        <w:pStyle w:val="indent"/>
        <w:spacing w:before="0" w:beforeAutospacing="0" w:after="0" w:afterAutospacing="0"/>
        <w:ind w:firstLine="360"/>
        <w:jc w:val="both"/>
        <w:rPr>
          <w:color w:val="000000"/>
        </w:rPr>
      </w:pPr>
      <w:r>
        <w:rPr>
          <w:color w:val="000000"/>
        </w:rPr>
        <w:t>Three years later, in</w:t>
      </w:r>
      <w:r>
        <w:rPr>
          <w:rStyle w:val="apple-converted-space"/>
          <w:color w:val="000000"/>
        </w:rPr>
        <w:t> </w:t>
      </w:r>
      <w:proofErr w:type="spellStart"/>
      <w:r>
        <w:rPr>
          <w:rStyle w:val="Emphasis"/>
          <w:color w:val="000000"/>
        </w:rPr>
        <w:t>Cupp</w:t>
      </w:r>
      <w:proofErr w:type="spellEnd"/>
      <w:r>
        <w:rPr>
          <w:rStyle w:val="Emphasis"/>
          <w:color w:val="000000"/>
        </w:rPr>
        <w:t xml:space="preserve"> v. Murphy</w:t>
      </w:r>
      <w:r>
        <w:rPr>
          <w:color w:val="000000"/>
        </w:rPr>
        <w:t>, 412 U.S. 291 (1973), the Court held that the taking of fingernail scrapings without consent or formal arrest does not violate the Fourth Amendment protection against unreasonable search and seizure if the evidence is likely to disappear before a warrant can be obtained.</w:t>
      </w:r>
    </w:p>
    <w:p w14:paraId="163F8843" w14:textId="77777777" w:rsidR="00AC7260" w:rsidRDefault="00AC7260" w:rsidP="00AC7260">
      <w:pPr>
        <w:pStyle w:val="noindent"/>
        <w:spacing w:before="0" w:beforeAutospacing="0" w:after="0" w:afterAutospacing="0"/>
        <w:jc w:val="both"/>
        <w:rPr>
          <w:color w:val="000000"/>
          <w:sz w:val="20"/>
          <w:szCs w:val="20"/>
        </w:rPr>
      </w:pPr>
      <w:proofErr w:type="spellStart"/>
      <w:r>
        <w:rPr>
          <w:rStyle w:val="Emphasis"/>
          <w:color w:val="000000"/>
          <w:sz w:val="20"/>
          <w:szCs w:val="20"/>
        </w:rPr>
        <w:t>Cupp</w:t>
      </w:r>
      <w:proofErr w:type="spellEnd"/>
      <w:r>
        <w:rPr>
          <w:rStyle w:val="Emphasis"/>
          <w:color w:val="000000"/>
          <w:sz w:val="20"/>
          <w:szCs w:val="20"/>
        </w:rPr>
        <w:t xml:space="preserve"> v. Murphy</w:t>
      </w:r>
      <w:r>
        <w:rPr>
          <w:rStyle w:val="apple-converted-space"/>
          <w:color w:val="000000"/>
          <w:sz w:val="20"/>
          <w:szCs w:val="20"/>
        </w:rPr>
        <w:t> </w:t>
      </w:r>
      <w:r>
        <w:rPr>
          <w:color w:val="000000"/>
          <w:sz w:val="20"/>
          <w:szCs w:val="20"/>
        </w:rPr>
        <w:t>(1973)</w:t>
      </w:r>
    </w:p>
    <w:p w14:paraId="1E5B1F60" w14:textId="77777777" w:rsidR="00AC7260" w:rsidRDefault="00AC7260" w:rsidP="00AC7260">
      <w:pPr>
        <w:pStyle w:val="indent"/>
        <w:spacing w:before="0" w:beforeAutospacing="0" w:after="0" w:afterAutospacing="0"/>
        <w:ind w:firstLine="360"/>
        <w:jc w:val="both"/>
        <w:rPr>
          <w:color w:val="000000"/>
        </w:rPr>
      </w:pPr>
      <w:r>
        <w:rPr>
          <w:color w:val="000000"/>
        </w:rPr>
        <w:t>The Court has ruled, however, that the fact that the place searched was the scene of a serious crime (in this case the murder of an undercover officer) did not in itself justify a warrantless search in the absence of any “indication that the evidence would be lost, destroyed, or removed during the time required to obtain a search warrant and there [was] no suggestion that a warrant could not easily and conveniently have been obtained” (</w:t>
      </w:r>
      <w:r>
        <w:rPr>
          <w:rStyle w:val="Emphasis"/>
          <w:color w:val="000000"/>
        </w:rPr>
        <w:t>Mincey v. Arizona</w:t>
      </w:r>
      <w:r>
        <w:rPr>
          <w:color w:val="000000"/>
        </w:rPr>
        <w:t>, 437 U.S. 385 [1978]).</w:t>
      </w:r>
    </w:p>
    <w:p w14:paraId="28CF5FB9"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Mincey v. Arizona</w:t>
      </w:r>
      <w:r>
        <w:rPr>
          <w:rStyle w:val="apple-converted-space"/>
          <w:color w:val="000000"/>
          <w:sz w:val="20"/>
          <w:szCs w:val="20"/>
        </w:rPr>
        <w:t> </w:t>
      </w:r>
      <w:r>
        <w:rPr>
          <w:color w:val="000000"/>
          <w:sz w:val="20"/>
          <w:szCs w:val="20"/>
        </w:rPr>
        <w:t>(1978)</w:t>
      </w:r>
    </w:p>
    <w:p w14:paraId="3697F860"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Mincey</w:t>
      </w:r>
      <w:r>
        <w:rPr>
          <w:color w:val="000000"/>
        </w:rPr>
        <w:t>, an undercover police officer was shot and killed during a narcotics raid on Mincey's apartment. Shortly thereafter, homicide detectives arrived at the scene of the crime and conducted “an exhaustive four-day warrantless search of the apartment which included the opening of dresser drawers, the ripping up of carpets, and the seizure of 200 to 300 objects.” At trial, Mincey sought to suppress the evidence obtained, saying that the warrantless search was invalid. The government justified the warrantless search based on the “murder scene” exception to the warrant requirement created by the Arizona Supreme Court in previous cases. The Court disagreed, saying that the warrantless search in this case could not be justified based on “the ground that a possible homicide inevitably presents an emergency situation, especially since there was no emergency threatening life or limb.” The seriousness of the offense cannot of itself create exigent circumstances justifying a warrantless search, when there is no indication that evidence would be lost during the time required to obtain a search warrant.</w:t>
      </w:r>
    </w:p>
    <w:p w14:paraId="7F204F3E"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proofErr w:type="spellStart"/>
      <w:r>
        <w:rPr>
          <w:rStyle w:val="Emphasis"/>
          <w:color w:val="000000"/>
        </w:rPr>
        <w:t>Flippo</w:t>
      </w:r>
      <w:proofErr w:type="spellEnd"/>
      <w:r>
        <w:rPr>
          <w:rStyle w:val="Emphasis"/>
          <w:color w:val="000000"/>
        </w:rPr>
        <w:t xml:space="preserve"> v. West Virginia</w:t>
      </w:r>
      <w:r>
        <w:rPr>
          <w:color w:val="000000"/>
        </w:rPr>
        <w:t>, 528 U.S. 11 (1999), the Court reaffirmed its decision in</w:t>
      </w:r>
      <w:r>
        <w:rPr>
          <w:rStyle w:val="apple-converted-space"/>
          <w:color w:val="000000"/>
        </w:rPr>
        <w:t> </w:t>
      </w:r>
      <w:r>
        <w:rPr>
          <w:rStyle w:val="Emphasis"/>
          <w:color w:val="000000"/>
        </w:rPr>
        <w:t>Mincey</w:t>
      </w:r>
      <w:r>
        <w:rPr>
          <w:rStyle w:val="apple-converted-space"/>
          <w:color w:val="000000"/>
        </w:rPr>
        <w:t> </w:t>
      </w:r>
      <w:r>
        <w:rPr>
          <w:color w:val="000000"/>
        </w:rPr>
        <w:t xml:space="preserve">when it said that there is no crime scene exception to the search warrant requirement, adding that “a warrantless search by the police is invalid unless it falls within one of the narrow and well-delineated exceptions to the warrant requirement.” In this case, </w:t>
      </w:r>
      <w:proofErr w:type="spellStart"/>
      <w:r>
        <w:rPr>
          <w:color w:val="000000"/>
        </w:rPr>
        <w:t>Flippo's</w:t>
      </w:r>
      <w:proofErr w:type="spellEnd"/>
      <w:r>
        <w:rPr>
          <w:color w:val="000000"/>
        </w:rPr>
        <w:t xml:space="preserve"> conviction was influenced by photographs removed by the police from a briefcase they found at the crime scene and opened without a warrant. The photographs, admitted at trial, suggested that </w:t>
      </w:r>
      <w:proofErr w:type="spellStart"/>
      <w:r>
        <w:rPr>
          <w:color w:val="000000"/>
        </w:rPr>
        <w:t>Flippo</w:t>
      </w:r>
      <w:proofErr w:type="spellEnd"/>
      <w:r>
        <w:rPr>
          <w:color w:val="000000"/>
        </w:rPr>
        <w:t xml:space="preserve"> was having a homosexual affair with a member of his church and that this provided a motive for him to kill his wife. The Court rejected the murder scene exception to the warrant requirement used by the prosecution, saying that this exception was squarely in conflict with</w:t>
      </w:r>
      <w:r>
        <w:rPr>
          <w:rStyle w:val="apple-converted-space"/>
          <w:color w:val="000000"/>
        </w:rPr>
        <w:t> </w:t>
      </w:r>
      <w:r>
        <w:rPr>
          <w:rStyle w:val="Emphasis"/>
          <w:color w:val="000000"/>
        </w:rPr>
        <w:t>Mincey.</w:t>
      </w:r>
    </w:p>
    <w:p w14:paraId="158CEB99" w14:textId="77777777" w:rsidR="00AC7260" w:rsidRDefault="00AC7260" w:rsidP="00AC7260">
      <w:pPr>
        <w:pStyle w:val="noindent"/>
        <w:spacing w:before="240" w:beforeAutospacing="0" w:after="0" w:afterAutospacing="0"/>
        <w:jc w:val="both"/>
        <w:rPr>
          <w:color w:val="000000"/>
        </w:rPr>
      </w:pPr>
      <w:r>
        <w:rPr>
          <w:b/>
          <w:bCs/>
          <w:color w:val="000000"/>
        </w:rPr>
        <w:t>Searches in Hot Pursuit of Dangerous Suspects</w:t>
      </w:r>
      <w:r>
        <w:rPr>
          <w:rStyle w:val="apple-converted-space"/>
          <w:color w:val="000000"/>
        </w:rPr>
        <w:t> </w:t>
      </w:r>
      <w:r>
        <w:rPr>
          <w:color w:val="000000"/>
        </w:rPr>
        <w:t xml:space="preserve">The police may enter a house without a warrant to search for a dangerous suspect who is being pursued and whom they have reason to believe is </w:t>
      </w:r>
      <w:r>
        <w:rPr>
          <w:color w:val="000000"/>
        </w:rPr>
        <w:lastRenderedPageBreak/>
        <w:t>on the premises. For example, in one case, the police pursued a robbery suspect to a house (which later turned out to be his own). The suspect's wife opened the door to the police, who asked and received permission to search for a “burglar.” The police looked for weapons that might have been concealed and found incriminating clothing in a washing machine. The clothing was confiscated and introduced as evidence during the trial. The Court held that the warrantless search was justified by hot pursuit (regardless of the validity of the suspect's wife's consent). Because the police were informed that an armed robbery had taken place and that the suspect had entered a particular house less than five minutes before they got there,</w:t>
      </w:r>
      <w:r>
        <w:rPr>
          <w:rStyle w:val="apple-converted-space"/>
          <w:color w:val="000000"/>
        </w:rPr>
        <w:t> </w:t>
      </w:r>
      <w:r>
        <w:rPr>
          <w:color w:val="000000"/>
        </w:rPr>
        <w:t>they acted reasonably when they entered the house and began to search for the suspect and for weapons that he had allegedly used in the robbery (</w:t>
      </w:r>
      <w:r>
        <w:rPr>
          <w:rStyle w:val="Emphasis"/>
          <w:color w:val="000000"/>
        </w:rPr>
        <w:t>Warden v. Hayden</w:t>
      </w:r>
      <w:r>
        <w:rPr>
          <w:color w:val="000000"/>
        </w:rPr>
        <w:t>, 387 U.S. 294 [1967]).</w:t>
      </w:r>
    </w:p>
    <w:p w14:paraId="4802D222" w14:textId="1098190F" w:rsidR="00AC7260" w:rsidRDefault="00AC7260" w:rsidP="009826EC"/>
    <w:p w14:paraId="20656946" w14:textId="77777777" w:rsidR="00AC7260" w:rsidRDefault="00AC7260" w:rsidP="00AC7260">
      <w:pPr>
        <w:pStyle w:val="noindent"/>
        <w:spacing w:before="240" w:beforeAutospacing="0" w:after="0" w:afterAutospacing="0"/>
        <w:jc w:val="both"/>
        <w:rPr>
          <w:color w:val="000000"/>
        </w:rPr>
      </w:pPr>
      <w:r>
        <w:rPr>
          <w:b/>
          <w:bCs/>
          <w:color w:val="000000"/>
        </w:rPr>
        <w:t>Danger to a Third Person</w:t>
      </w:r>
      <w:r>
        <w:rPr>
          <w:rStyle w:val="apple-converted-space"/>
          <w:color w:val="000000"/>
        </w:rPr>
        <w:t> </w:t>
      </w:r>
      <w:r>
        <w:rPr>
          <w:color w:val="000000"/>
        </w:rPr>
        <w:t>An officer may enter a dwelling without a warrant in response to screams for help. In</w:t>
      </w:r>
      <w:r>
        <w:rPr>
          <w:rStyle w:val="apple-converted-space"/>
          <w:color w:val="000000"/>
        </w:rPr>
        <w:t> </w:t>
      </w:r>
      <w:r>
        <w:rPr>
          <w:rStyle w:val="Emphasis"/>
          <w:color w:val="000000"/>
        </w:rPr>
        <w:t>Warden v. Hayden</w:t>
      </w:r>
      <w:r>
        <w:rPr>
          <w:color w:val="000000"/>
        </w:rPr>
        <w:t>, 387 U.S. 294 (1967), the Court said, “The Fourth Amendment does not require police officers to delay in the course of an investigation if to do so would gravely endanger their lives or the lives of others.” In a more recent case, the Court held as follows: “Police may enter a home without a warrant when they have an objectively reasonable basis for believing that an occupant is seriously injured or imminently threatened with such injury” (</w:t>
      </w:r>
      <w:r>
        <w:rPr>
          <w:rStyle w:val="Emphasis"/>
          <w:color w:val="000000"/>
        </w:rPr>
        <w:t>Brigham City, Utah v. Stuart</w:t>
      </w:r>
      <w:r>
        <w:rPr>
          <w:color w:val="000000"/>
        </w:rPr>
        <w:t>, 547 U.S. 47 [2007]). (This case is discussed more extensively in</w:t>
      </w:r>
      <w:r>
        <w:rPr>
          <w:rStyle w:val="apple-converted-space"/>
          <w:color w:val="000000"/>
        </w:rPr>
        <w:t> </w:t>
      </w:r>
      <w:hyperlink r:id="rId119" w:anchor="ch6" w:history="1">
        <w:r>
          <w:rPr>
            <w:rStyle w:val="Hyperlink"/>
          </w:rPr>
          <w:t>Chapter 6</w:t>
        </w:r>
      </w:hyperlink>
      <w:r>
        <w:rPr>
          <w:color w:val="000000"/>
        </w:rPr>
        <w:t>.)</w:t>
      </w:r>
    </w:p>
    <w:p w14:paraId="6D8468A3"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Warden v. Hayden</w:t>
      </w:r>
      <w:r>
        <w:rPr>
          <w:rStyle w:val="apple-converted-space"/>
          <w:color w:val="000000"/>
          <w:sz w:val="20"/>
          <w:szCs w:val="20"/>
        </w:rPr>
        <w:t> </w:t>
      </w:r>
      <w:r>
        <w:rPr>
          <w:color w:val="000000"/>
          <w:sz w:val="20"/>
          <w:szCs w:val="20"/>
        </w:rPr>
        <w:t>(1967)</w:t>
      </w:r>
    </w:p>
    <w:p w14:paraId="0BAF16A0"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Brigham City, Utah v. Stuart</w:t>
      </w:r>
      <w:r>
        <w:rPr>
          <w:rStyle w:val="apple-converted-space"/>
          <w:color w:val="000000"/>
          <w:sz w:val="20"/>
          <w:szCs w:val="20"/>
        </w:rPr>
        <w:t> </w:t>
      </w:r>
      <w:r>
        <w:rPr>
          <w:color w:val="000000"/>
          <w:sz w:val="20"/>
          <w:szCs w:val="20"/>
        </w:rPr>
        <w:t>(2007)</w:t>
      </w:r>
    </w:p>
    <w:p w14:paraId="5703B0B2" w14:textId="77777777" w:rsidR="00AC7260" w:rsidRDefault="00AC7260" w:rsidP="00AC7260">
      <w:pPr>
        <w:pStyle w:val="noindent"/>
        <w:spacing w:before="240" w:beforeAutospacing="0" w:after="0" w:afterAutospacing="0"/>
        <w:jc w:val="both"/>
        <w:rPr>
          <w:color w:val="000000"/>
        </w:rPr>
      </w:pPr>
      <w:r>
        <w:rPr>
          <w:b/>
          <w:bCs/>
          <w:color w:val="000000"/>
        </w:rPr>
        <w:t>Driving While Intoxicated (DWI)</w:t>
      </w:r>
      <w:r>
        <w:rPr>
          <w:rStyle w:val="apple-converted-space"/>
          <w:color w:val="000000"/>
        </w:rPr>
        <w:t> </w:t>
      </w:r>
      <w:r>
        <w:rPr>
          <w:color w:val="000000"/>
        </w:rPr>
        <w:t xml:space="preserve">The police may, without a search warrant and by force, if necessary, take a blood sample from a person arrested for drunk driving, </w:t>
      </w:r>
      <w:proofErr w:type="gramStart"/>
      <w:r>
        <w:rPr>
          <w:color w:val="000000"/>
        </w:rPr>
        <w:t>as long as</w:t>
      </w:r>
      <w:proofErr w:type="gramEnd"/>
      <w:r>
        <w:rPr>
          <w:color w:val="000000"/>
        </w:rPr>
        <w:t xml:space="preserve"> the setting and procedures are reasonable (as when the blood is drawn by a doctor in a hospital). Exigent circumstances exist because alcohol in the suspect's bloodstream might disappear in the time required to obtain a warrant (</w:t>
      </w:r>
      <w:proofErr w:type="spellStart"/>
      <w:r>
        <w:rPr>
          <w:rStyle w:val="Emphasis"/>
          <w:color w:val="000000"/>
        </w:rPr>
        <w:t>Schmerber</w:t>
      </w:r>
      <w:proofErr w:type="spellEnd"/>
      <w:r>
        <w:rPr>
          <w:rStyle w:val="Emphasis"/>
          <w:color w:val="000000"/>
        </w:rPr>
        <w:t xml:space="preserve"> v. California</w:t>
      </w:r>
      <w:r>
        <w:rPr>
          <w:color w:val="000000"/>
        </w:rPr>
        <w:t>, 384 U.S. 757 [1966]).</w:t>
      </w:r>
    </w:p>
    <w:p w14:paraId="439E7BD3" w14:textId="77777777" w:rsidR="00AC7260" w:rsidRDefault="00AC7260" w:rsidP="00AC7260">
      <w:pPr>
        <w:pStyle w:val="noindent"/>
        <w:spacing w:before="0" w:beforeAutospacing="0" w:after="0" w:afterAutospacing="0"/>
        <w:jc w:val="both"/>
        <w:rPr>
          <w:color w:val="000000"/>
          <w:sz w:val="20"/>
          <w:szCs w:val="20"/>
        </w:rPr>
      </w:pPr>
      <w:proofErr w:type="spellStart"/>
      <w:r>
        <w:rPr>
          <w:rStyle w:val="Emphasis"/>
          <w:color w:val="000000"/>
          <w:sz w:val="20"/>
          <w:szCs w:val="20"/>
        </w:rPr>
        <w:t>Schmerber</w:t>
      </w:r>
      <w:proofErr w:type="spellEnd"/>
      <w:r>
        <w:rPr>
          <w:rStyle w:val="Emphasis"/>
          <w:color w:val="000000"/>
          <w:sz w:val="20"/>
          <w:szCs w:val="20"/>
        </w:rPr>
        <w:t xml:space="preserve"> v. California</w:t>
      </w:r>
      <w:r>
        <w:rPr>
          <w:rStyle w:val="apple-converted-space"/>
          <w:color w:val="000000"/>
          <w:sz w:val="20"/>
          <w:szCs w:val="20"/>
        </w:rPr>
        <w:t> </w:t>
      </w:r>
      <w:r>
        <w:rPr>
          <w:color w:val="000000"/>
          <w:sz w:val="20"/>
          <w:szCs w:val="20"/>
        </w:rPr>
        <w:t>(1966)</w:t>
      </w:r>
    </w:p>
    <w:p w14:paraId="32011B5B" w14:textId="77777777" w:rsidR="00AC7260" w:rsidRDefault="00AC7260" w:rsidP="00AC7260">
      <w:pPr>
        <w:pStyle w:val="indent"/>
        <w:spacing w:before="0" w:beforeAutospacing="0" w:after="0" w:afterAutospacing="0"/>
        <w:ind w:firstLine="360"/>
        <w:jc w:val="both"/>
        <w:rPr>
          <w:color w:val="000000"/>
        </w:rPr>
      </w:pPr>
      <w:r>
        <w:rPr>
          <w:color w:val="000000"/>
        </w:rPr>
        <w:t>However, in</w:t>
      </w:r>
      <w:r>
        <w:rPr>
          <w:rStyle w:val="apple-converted-space"/>
          <w:color w:val="000000"/>
        </w:rPr>
        <w:t> </w:t>
      </w:r>
      <w:r>
        <w:rPr>
          <w:rStyle w:val="Emphasis"/>
          <w:color w:val="000000"/>
        </w:rPr>
        <w:t>Welch v. Wisconsin</w:t>
      </w:r>
      <w:r>
        <w:rPr>
          <w:color w:val="000000"/>
        </w:rPr>
        <w:t>, 466 U.S. 740 (1984), the Court placed limits on what the police can do in routine DWI cases. The Court held that the Fourth Amendment prohibits the police from making a warrantless nighttime entry into a suspect's house to arrest him or her for drunk driving if the offense is a misdemeanor for which state law does not allow any jail sentence. The fact that the police had an interest in preserving the evidence (because the suspect's blood-alcohol level might diminish while the police procured a warrant) was ruled insufficient to create the required exigent circumstance.</w:t>
      </w:r>
    </w:p>
    <w:p w14:paraId="6F833365"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Welch</w:t>
      </w:r>
      <w:r>
        <w:rPr>
          <w:color w:val="000000"/>
        </w:rPr>
        <w:t>, the defendant had run his car off the road and abandoned it. By the time police officers arrived at the scene and learned from a witness that the defendant was either inebriated or very ill, the defendant had gone home and fallen asleep. The officers checked the vehicle's registration and learned that the defendant lived close by. Without obtaining a warrant, they went to the suspect's home and arrested him. The Wisconsin Supreme Court held that the officers' actions were justified by exigent circumstances.</w:t>
      </w:r>
    </w:p>
    <w:p w14:paraId="17579285" w14:textId="77777777" w:rsidR="00AC7260" w:rsidRDefault="00AC7260" w:rsidP="00AC7260">
      <w:pPr>
        <w:pStyle w:val="indent"/>
        <w:spacing w:before="0" w:beforeAutospacing="0" w:after="0" w:afterAutospacing="0"/>
        <w:ind w:firstLine="360"/>
        <w:jc w:val="both"/>
        <w:rPr>
          <w:color w:val="000000"/>
        </w:rPr>
      </w:pPr>
      <w:r>
        <w:rPr>
          <w:color w:val="000000"/>
        </w:rPr>
        <w:t xml:space="preserve">The U.S. Supreme Court reversed that decision, saying that “an important factor to be considered when determining whether any exigency exists is the gravity of the underlying offense for which the arrest is being made…. Application of the exigent circumstances exception in the context of a home entry should rarely be sanctioned when there is probable cause to believe that only a minor offense has been committed.” Implicit in this is the assumption that, had the offense </w:t>
      </w:r>
      <w:r>
        <w:rPr>
          <w:color w:val="000000"/>
        </w:rPr>
        <w:lastRenderedPageBreak/>
        <w:t>been serious (such as if the driver had seriously injured somebody before running off the road and abandoning his car), the warrantless search of his home would have been allowed. The Court concluded that in this case there was no immediate pursuit of the defendant from the scene, nor was there any need to protect either the public or the defendant, as he had abandoned the vehicle and was at home sleeping. Only the need to preserve the evidence remained, and that was not enough, given the type of offense involved and the state's treatment of it as a civil matter, to justify the warrantless intrusion.</w:t>
      </w:r>
    </w:p>
    <w:p w14:paraId="159CB04A" w14:textId="77777777" w:rsidR="00AC7260" w:rsidRDefault="00AC7260" w:rsidP="00AC7260">
      <w:pPr>
        <w:pStyle w:val="indent"/>
        <w:spacing w:before="0" w:beforeAutospacing="0" w:after="0" w:afterAutospacing="0"/>
        <w:ind w:firstLine="360"/>
        <w:jc w:val="both"/>
        <w:rPr>
          <w:color w:val="000000"/>
        </w:rPr>
      </w:pPr>
      <w:r>
        <w:rPr>
          <w:color w:val="000000"/>
        </w:rPr>
        <w:t>In 2013, in</w:t>
      </w:r>
      <w:r>
        <w:rPr>
          <w:rStyle w:val="apple-converted-space"/>
          <w:color w:val="000000"/>
        </w:rPr>
        <w:t> </w:t>
      </w:r>
      <w:r>
        <w:rPr>
          <w:rStyle w:val="Emphasis"/>
          <w:color w:val="000000"/>
        </w:rPr>
        <w:t>Missouri v. McNeely</w:t>
      </w:r>
      <w:r>
        <w:rPr>
          <w:rStyle w:val="apple-converted-space"/>
          <w:color w:val="000000"/>
        </w:rPr>
        <w:t> </w:t>
      </w:r>
      <w:r>
        <w:rPr>
          <w:color w:val="000000"/>
        </w:rPr>
        <w:t>the Court reaffirmed and clarified its decision in</w:t>
      </w:r>
      <w:r>
        <w:rPr>
          <w:rStyle w:val="apple-converted-space"/>
          <w:color w:val="000000"/>
        </w:rPr>
        <w:t> </w:t>
      </w:r>
      <w:proofErr w:type="spellStart"/>
      <w:r>
        <w:rPr>
          <w:rStyle w:val="Emphasis"/>
          <w:color w:val="000000"/>
        </w:rPr>
        <w:t>Schmerber</w:t>
      </w:r>
      <w:proofErr w:type="spellEnd"/>
      <w:r>
        <w:rPr>
          <w:color w:val="000000"/>
        </w:rPr>
        <w:t>, holding that the normal reduction over time of the level of alcohol in the bloodstream did not automatically create exigent circumstances justifying a warrantless taking of a blood sample.</w:t>
      </w:r>
    </w:p>
    <w:p w14:paraId="3723D4A9"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Missouri v. McNeely</w:t>
      </w:r>
      <w:r>
        <w:rPr>
          <w:rStyle w:val="apple-converted-space"/>
          <w:color w:val="000000"/>
          <w:sz w:val="20"/>
          <w:szCs w:val="20"/>
        </w:rPr>
        <w:t> </w:t>
      </w:r>
      <w:r>
        <w:rPr>
          <w:color w:val="000000"/>
          <w:sz w:val="20"/>
          <w:szCs w:val="20"/>
        </w:rPr>
        <w:t>(2013)</w:t>
      </w:r>
    </w:p>
    <w:p w14:paraId="74A21FB3" w14:textId="77777777" w:rsidR="00AC7260" w:rsidRDefault="00AC7260" w:rsidP="00AC7260">
      <w:pPr>
        <w:pStyle w:val="indent"/>
        <w:spacing w:before="0" w:beforeAutospacing="0" w:after="0" w:afterAutospacing="0"/>
        <w:ind w:firstLine="360"/>
        <w:jc w:val="both"/>
        <w:rPr>
          <w:color w:val="000000"/>
        </w:rPr>
      </w:pPr>
      <w:r>
        <w:rPr>
          <w:color w:val="000000"/>
        </w:rPr>
        <w:t xml:space="preserve">In this case Tyler McNeely was stopped by a Missouri state police officer, Matt Winder, after he observed McNeely speeding and crossing the centerline. Upon approaching McNeely, Officer Winder observed signs of intoxication, including bloodshot eyes and slurred speech. After McNeely failed a series of field-sobriety tests, Officer Winder arrested him and placed him in his cruiser to take him to the station for booking and the administration of a breath-test to measure his blood alcohol content. When McNeely stated he would not take a breath-test, Officer Winder drove McNeely to a local hospital for a blood test. Officer Winder instructed the nurse to take a blood sample, over McNeely's objections. Officer Winder never attempted to obtain a search warrant. After testing, McNeely's blood alcohol level was found to be above the legal </w:t>
      </w:r>
      <w:proofErr w:type="gramStart"/>
      <w:r>
        <w:rPr>
          <w:color w:val="000000"/>
        </w:rPr>
        <w:t>limit</w:t>
      </w:r>
      <w:proofErr w:type="gramEnd"/>
      <w:r>
        <w:rPr>
          <w:color w:val="000000"/>
        </w:rPr>
        <w:t xml:space="preserve"> and he was charged with driving while intoxicated. At trial, McNeely filed a motion to suppress his blood test, claiming it violated his Fourth Amendment rights to take the blood sample without first obtaining a search warrant. The trial court granted the motion. The Missouri Supreme Court affirmed the trial court, arguing that while the U.S. Supreme Court had ruled in</w:t>
      </w:r>
      <w:r>
        <w:rPr>
          <w:rStyle w:val="apple-converted-space"/>
          <w:color w:val="000000"/>
        </w:rPr>
        <w:t> </w:t>
      </w:r>
      <w:proofErr w:type="spellStart"/>
      <w:r>
        <w:rPr>
          <w:rStyle w:val="Emphasis"/>
          <w:color w:val="000000"/>
        </w:rPr>
        <w:t>Schmerber</w:t>
      </w:r>
      <w:proofErr w:type="spellEnd"/>
      <w:r>
        <w:rPr>
          <w:rStyle w:val="Emphasis"/>
          <w:color w:val="000000"/>
        </w:rPr>
        <w:t xml:space="preserve"> v. California</w:t>
      </w:r>
      <w:r>
        <w:rPr>
          <w:rStyle w:val="apple-converted-space"/>
          <w:color w:val="000000"/>
        </w:rPr>
        <w:t> </w:t>
      </w:r>
      <w:r>
        <w:rPr>
          <w:color w:val="000000"/>
        </w:rPr>
        <w:t>(1966) that the drawing of a nonconsensual, warrantless blood sample was allowed due to exigent circumstances, the Court also indicated that this standard should be applied to the totality of the circumstances in each case. The Missouri Supreme Court concluded that the likelihood that blood alcohol levels will be reduced if a blood or breath sample is not taken quickly does not of itself create exigent circumstances. On examining the totality of the circumstances, the Missouri Supreme Court concluded that it was a routine DWI case, and that there were no exigent circumstances. The Court agreed, noting that the</w:t>
      </w:r>
      <w:r>
        <w:rPr>
          <w:rStyle w:val="apple-converted-space"/>
          <w:color w:val="000000"/>
        </w:rPr>
        <w:t> </w:t>
      </w:r>
      <w:proofErr w:type="spellStart"/>
      <w:r>
        <w:rPr>
          <w:rStyle w:val="Emphasis"/>
          <w:color w:val="000000"/>
        </w:rPr>
        <w:t>Schmerber</w:t>
      </w:r>
      <w:proofErr w:type="spellEnd"/>
      <w:r>
        <w:rPr>
          <w:rStyle w:val="apple-converted-space"/>
          <w:color w:val="000000"/>
        </w:rPr>
        <w:t> </w:t>
      </w:r>
      <w:r>
        <w:rPr>
          <w:color w:val="000000"/>
        </w:rPr>
        <w:t>ruling was issued after careful consideration of the specific circumstances of that case, and that future cases should be subject to the same case-by-case consideration when deciding whether there were exigent circumstances present to justify a warrantless blood sample to be taken in alcohol-related cases.</w:t>
      </w:r>
    </w:p>
    <w:p w14:paraId="0AA6FABC" w14:textId="77777777" w:rsidR="00AC7260" w:rsidRDefault="00AC7260" w:rsidP="00AC7260"/>
    <w:p w14:paraId="57FDA9A6" w14:textId="77777777" w:rsidR="00AC7260" w:rsidRDefault="00AC7260" w:rsidP="00AC7260">
      <w:pPr>
        <w:pStyle w:val="Heading2"/>
        <w:shd w:val="clear" w:color="auto" w:fill="EDEEEE"/>
        <w:spacing w:before="240" w:beforeAutospacing="0" w:after="120" w:afterAutospacing="0"/>
        <w:rPr>
          <w:color w:val="000000"/>
          <w:sz w:val="31"/>
          <w:szCs w:val="31"/>
        </w:rPr>
      </w:pPr>
      <w:hyperlink r:id="rId120" w:anchor="toc-ch7-23" w:history="1">
        <w:r>
          <w:rPr>
            <w:rStyle w:val="Hyperlink"/>
            <w:color w:val="000000"/>
            <w:sz w:val="31"/>
            <w:szCs w:val="31"/>
            <w:u w:val="none"/>
          </w:rPr>
          <w:t>THE SPECIAL NEEDS BEYOND LAW ENFORCEMENT EXCEPTION</w:t>
        </w:r>
      </w:hyperlink>
    </w:p>
    <w:p w14:paraId="39621A0D" w14:textId="77777777" w:rsidR="00AC7260" w:rsidRDefault="00AC7260" w:rsidP="00AC7260">
      <w:pPr>
        <w:pStyle w:val="noindent"/>
        <w:spacing w:before="0" w:beforeAutospacing="0" w:after="0" w:afterAutospacing="0"/>
        <w:jc w:val="both"/>
        <w:rPr>
          <w:color w:val="000000"/>
        </w:rPr>
      </w:pPr>
      <w:r>
        <w:rPr>
          <w:color w:val="000000"/>
        </w:rPr>
        <w:t>The Court has carved out a series of exceptions to the warrant requirement, collectively known as the special needs beyond law enforcement exception. What such</w:t>
      </w:r>
      <w:r>
        <w:rPr>
          <w:rStyle w:val="apple-converted-space"/>
          <w:color w:val="000000"/>
        </w:rPr>
        <w:t> </w:t>
      </w:r>
      <w:hyperlink r:id="rId121" w:anchor="kt7-12" w:history="1">
        <w:r>
          <w:rPr>
            <w:rStyle w:val="Hyperlink"/>
            <w:b/>
            <w:bCs/>
            <w:color w:val="000000"/>
            <w:u w:val="none"/>
          </w:rPr>
          <w:t>special needs exceptions</w:t>
        </w:r>
      </w:hyperlink>
      <w:r>
        <w:rPr>
          <w:rStyle w:val="apple-converted-space"/>
          <w:color w:val="000000"/>
        </w:rPr>
        <w:t> </w:t>
      </w:r>
      <w:r>
        <w:rPr>
          <w:color w:val="000000"/>
        </w:rPr>
        <w:t>have in common is that they are not police searches (although sometimes the police are asked to help) but instead involve searches conducted by other public agencies that perform tasks related to law enforcement. The Court has repeatedly held that these types of searches may be made</w:t>
      </w:r>
      <w:r>
        <w:rPr>
          <w:rStyle w:val="apple-converted-space"/>
          <w:color w:val="000000"/>
        </w:rPr>
        <w:t> </w:t>
      </w:r>
      <w:r>
        <w:rPr>
          <w:rStyle w:val="Emphasis"/>
          <w:color w:val="000000"/>
        </w:rPr>
        <w:t>without a warrant</w:t>
      </w:r>
      <w:r>
        <w:rPr>
          <w:rStyle w:val="apple-converted-space"/>
          <w:color w:val="000000"/>
        </w:rPr>
        <w:t> </w:t>
      </w:r>
      <w:r>
        <w:rPr>
          <w:color w:val="000000"/>
        </w:rPr>
        <w:t>and on</w:t>
      </w:r>
      <w:r>
        <w:rPr>
          <w:rStyle w:val="apple-converted-space"/>
          <w:color w:val="000000"/>
        </w:rPr>
        <w:t> </w:t>
      </w:r>
      <w:r>
        <w:rPr>
          <w:rStyle w:val="Emphasis"/>
          <w:color w:val="000000"/>
        </w:rPr>
        <w:t>less than probable cause.</w:t>
      </w:r>
      <w:r>
        <w:rPr>
          <w:rStyle w:val="apple-converted-space"/>
          <w:color w:val="000000"/>
        </w:rPr>
        <w:t> </w:t>
      </w:r>
      <w:r>
        <w:rPr>
          <w:color w:val="000000"/>
        </w:rPr>
        <w:t>This section looks at each of these examples. The following situations illustrate the special needs exception to the warrant and probable cause requirements, as determined by the Court in decided cases:</w:t>
      </w:r>
    </w:p>
    <w:p w14:paraId="038E28E9" w14:textId="77777777" w:rsidR="00AC7260" w:rsidRDefault="00AC7260" w:rsidP="00AC7260">
      <w:pPr>
        <w:pStyle w:val="paralist3"/>
        <w:spacing w:before="0" w:beforeAutospacing="0" w:after="0" w:afterAutospacing="0"/>
        <w:jc w:val="both"/>
        <w:rPr>
          <w:color w:val="000000"/>
        </w:rPr>
      </w:pPr>
      <w:r>
        <w:rPr>
          <w:rStyle w:val="label"/>
          <w:color w:val="000000"/>
        </w:rPr>
        <w:lastRenderedPageBreak/>
        <w:t>♦</w:t>
      </w:r>
      <w:r>
        <w:rPr>
          <w:color w:val="000000"/>
        </w:rPr>
        <w:t>Public school searches</w:t>
      </w:r>
    </w:p>
    <w:p w14:paraId="7FC4315B"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Testing students for drugs</w:t>
      </w:r>
    </w:p>
    <w:p w14:paraId="24A67189"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Airport searches</w:t>
      </w:r>
    </w:p>
    <w:p w14:paraId="205E69D1"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Searches of probationers and parolees</w:t>
      </w:r>
    </w:p>
    <w:p w14:paraId="610E309E" w14:textId="77777777" w:rsidR="00AC7260" w:rsidRDefault="00AC7260" w:rsidP="00AC7260">
      <w:pPr>
        <w:pStyle w:val="key"/>
        <w:shd w:val="clear" w:color="auto" w:fill="E7E7E8"/>
        <w:spacing w:before="48" w:beforeAutospacing="0" w:after="0" w:afterAutospacing="0"/>
        <w:jc w:val="both"/>
        <w:rPr>
          <w:color w:val="000000"/>
        </w:rPr>
      </w:pPr>
      <w:r>
        <w:rPr>
          <w:b/>
          <w:bCs/>
          <w:color w:val="000000"/>
        </w:rPr>
        <w:t>special needs exceptions</w:t>
      </w:r>
      <w:r>
        <w:rPr>
          <w:color w:val="000000"/>
        </w:rPr>
        <w:br/>
        <w:t>an exception to the requirements of a warrant and probable cause under the Fourth Amendment; it allows warrantless searches and searches on less-than-probable cause in cases where there are needs to be met other than those of law enforcement, such as the supervision of high school students, probationers, and parolees.</w:t>
      </w:r>
    </w:p>
    <w:p w14:paraId="786C185A" w14:textId="77777777" w:rsidR="00AC7260" w:rsidRDefault="00AC7260" w:rsidP="00AC7260">
      <w:pPr>
        <w:pStyle w:val="Heading3"/>
        <w:spacing w:before="240" w:after="120"/>
        <w:rPr>
          <w:color w:val="000000"/>
          <w:sz w:val="29"/>
          <w:szCs w:val="29"/>
        </w:rPr>
      </w:pPr>
      <w:hyperlink r:id="rId122" w:anchor="toc-ch7-24" w:history="1">
        <w:r>
          <w:rPr>
            <w:rStyle w:val="Hyperlink"/>
            <w:color w:val="000000"/>
            <w:sz w:val="29"/>
            <w:szCs w:val="29"/>
            <w:u w:val="none"/>
          </w:rPr>
          <w:t>Public School Searches</w:t>
        </w:r>
      </w:hyperlink>
    </w:p>
    <w:p w14:paraId="65EF37AB" w14:textId="77777777" w:rsidR="00AC7260" w:rsidRDefault="00AC7260" w:rsidP="00AC7260">
      <w:pPr>
        <w:pStyle w:val="noindent"/>
        <w:spacing w:before="0" w:beforeAutospacing="0" w:after="0" w:afterAutospacing="0"/>
        <w:jc w:val="both"/>
        <w:rPr>
          <w:color w:val="000000"/>
        </w:rPr>
      </w:pPr>
      <w:r>
        <w:rPr>
          <w:color w:val="000000"/>
        </w:rPr>
        <w:t>In</w:t>
      </w:r>
      <w:r>
        <w:rPr>
          <w:rStyle w:val="apple-converted-space"/>
          <w:color w:val="000000"/>
        </w:rPr>
        <w:t> </w:t>
      </w:r>
      <w:r>
        <w:rPr>
          <w:rStyle w:val="Emphasis"/>
          <w:color w:val="000000"/>
        </w:rPr>
        <w:t>New Jersey v. T.L.O.</w:t>
      </w:r>
      <w:r>
        <w:rPr>
          <w:color w:val="000000"/>
        </w:rPr>
        <w:t>, 469 U.S. 325 (1985), the Court resolved an issue that had long bothered public school students, teachers, and administrators. The Court said that public school teachers and administrators</w:t>
      </w:r>
      <w:r>
        <w:rPr>
          <w:rStyle w:val="apple-converted-space"/>
          <w:color w:val="000000"/>
        </w:rPr>
        <w:t> </w:t>
      </w:r>
      <w:r>
        <w:rPr>
          <w:rStyle w:val="Emphasis"/>
          <w:color w:val="000000"/>
        </w:rPr>
        <w:t>do not need a warrant or probable cause</w:t>
      </w:r>
      <w:r>
        <w:rPr>
          <w:rStyle w:val="apple-converted-space"/>
          <w:color w:val="000000"/>
        </w:rPr>
        <w:t> </w:t>
      </w:r>
      <w:r>
        <w:rPr>
          <w:color w:val="000000"/>
        </w:rPr>
        <w:t>to search a student they believe is violating the law or school rules. What they do need are</w:t>
      </w:r>
      <w:r>
        <w:rPr>
          <w:rStyle w:val="apple-converted-space"/>
          <w:color w:val="000000"/>
        </w:rPr>
        <w:t> </w:t>
      </w:r>
      <w:r>
        <w:rPr>
          <w:rStyle w:val="Emphasis"/>
          <w:color w:val="000000"/>
        </w:rPr>
        <w:t>reasonable grounds</w:t>
      </w:r>
      <w:r>
        <w:rPr>
          <w:rStyle w:val="apple-converted-space"/>
          <w:color w:val="000000"/>
        </w:rPr>
        <w:t> </w:t>
      </w:r>
      <w:r>
        <w:rPr>
          <w:color w:val="000000"/>
        </w:rPr>
        <w:t>(lower than probable cause) for suspecting that the search will turn up evidence that the student has violated or is violating either the law or the rules of the school.</w:t>
      </w:r>
    </w:p>
    <w:p w14:paraId="25378872"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T.L.O.</w:t>
      </w:r>
      <w:r>
        <w:rPr>
          <w:color w:val="000000"/>
        </w:rPr>
        <w:t xml:space="preserve">, a teacher at a New Jersey high school discovered a student and her companion smoking cigarettes in a school restroom in violation of school rules. She took them to the principal's office, where they met with the assistant vice principal. When the student denied that she had been smoking, the assistant vice principal demanded to see her purse. On opening the purse, he found a pack of cigarettes </w:t>
      </w:r>
      <w:proofErr w:type="gramStart"/>
      <w:r>
        <w:rPr>
          <w:color w:val="000000"/>
        </w:rPr>
        <w:t>and also</w:t>
      </w:r>
      <w:proofErr w:type="gramEnd"/>
      <w:r>
        <w:rPr>
          <w:color w:val="000000"/>
        </w:rPr>
        <w:t xml:space="preserve"> noticed a package of cigarette rolling papers, which are commonly associated with the use of marijuana. He then searched the purse thoroughly and found marijuana, a pipe, plastic bags, a </w:t>
      </w:r>
      <w:proofErr w:type="gramStart"/>
      <w:r>
        <w:rPr>
          <w:color w:val="000000"/>
        </w:rPr>
        <w:t>fairly substantial</w:t>
      </w:r>
      <w:proofErr w:type="gramEnd"/>
      <w:r>
        <w:rPr>
          <w:color w:val="000000"/>
        </w:rPr>
        <w:t xml:space="preserve"> amount of money, and other items that implicated her in marijuana dealing.</w:t>
      </w:r>
    </w:p>
    <w:p w14:paraId="5E7A316A" w14:textId="77777777" w:rsidR="00AC7260" w:rsidRDefault="00AC7260" w:rsidP="00AC7260">
      <w:pPr>
        <w:pStyle w:val="indent"/>
        <w:spacing w:before="0" w:beforeAutospacing="0" w:after="0" w:afterAutospacing="0"/>
        <w:ind w:firstLine="360"/>
        <w:jc w:val="both"/>
        <w:rPr>
          <w:color w:val="000000"/>
        </w:rPr>
      </w:pPr>
      <w:r>
        <w:rPr>
          <w:color w:val="000000"/>
        </w:rPr>
        <w:t>The student moved to suppress this evidence in juvenile court, alleging that the search was illegal for lack of probable cause and a warrant. The Supreme Court rejected her allegation, saying that the Fourth Amendment prohibition against unreasonable searches and seizures applies to searches conducted by public school officials, but the school's legitimate need to maintain a positive learning environment requires some easing of the Fourth Amendment restrictions. Therefore, public school officials do not need a warrant or probable cause to conduct a search. All they need are</w:t>
      </w:r>
      <w:r>
        <w:rPr>
          <w:rStyle w:val="apple-converted-space"/>
          <w:color w:val="000000"/>
        </w:rPr>
        <w:t> </w:t>
      </w:r>
      <w:r>
        <w:rPr>
          <w:rStyle w:val="Emphasis"/>
          <w:color w:val="000000"/>
        </w:rPr>
        <w:t>reasonable grounds</w:t>
      </w:r>
      <w:r>
        <w:rPr>
          <w:rStyle w:val="apple-converted-space"/>
          <w:color w:val="000000"/>
        </w:rPr>
        <w:t> </w:t>
      </w:r>
      <w:r>
        <w:rPr>
          <w:color w:val="000000"/>
        </w:rPr>
        <w:t>to suspect that the search will turn up evidence that the student has violated or is violating either the law or the rules of the school.</w:t>
      </w:r>
    </w:p>
    <w:p w14:paraId="10C68B99" w14:textId="77777777" w:rsidR="00AC7260" w:rsidRDefault="00AC7260" w:rsidP="00AC7260">
      <w:pPr>
        <w:pStyle w:val="indent"/>
        <w:spacing w:before="0" w:beforeAutospacing="0" w:after="0" w:afterAutospacing="0"/>
        <w:ind w:firstLine="360"/>
        <w:jc w:val="both"/>
        <w:rPr>
          <w:color w:val="000000"/>
        </w:rPr>
      </w:pPr>
      <w:r>
        <w:rPr>
          <w:color w:val="000000"/>
        </w:rPr>
        <w:t>The</w:t>
      </w:r>
      <w:r>
        <w:rPr>
          <w:rStyle w:val="apple-converted-space"/>
          <w:color w:val="000000"/>
        </w:rPr>
        <w:t> </w:t>
      </w:r>
      <w:r>
        <w:rPr>
          <w:rStyle w:val="Emphasis"/>
          <w:color w:val="000000"/>
        </w:rPr>
        <w:t>T.L.O.</w:t>
      </w:r>
      <w:r>
        <w:rPr>
          <w:rStyle w:val="apple-converted-space"/>
          <w:color w:val="000000"/>
        </w:rPr>
        <w:t> </w:t>
      </w:r>
      <w:r>
        <w:rPr>
          <w:color w:val="000000"/>
        </w:rPr>
        <w:t>ruling applies only when the search and seizure are done by public school teachers and administrators. It does not apply to police officers, who are bound by the probable cause and warrant requirements even in school searches which they conduct on their own. The only possible exception is if the officers perform the search at the request of school authorities.</w:t>
      </w:r>
    </w:p>
    <w:p w14:paraId="2BE62920" w14:textId="77777777" w:rsidR="00AC7260" w:rsidRDefault="00AC7260" w:rsidP="00AC7260">
      <w:pPr>
        <w:pStyle w:val="indent"/>
        <w:spacing w:before="0" w:beforeAutospacing="0" w:after="0" w:afterAutospacing="0"/>
        <w:ind w:firstLine="360"/>
        <w:jc w:val="both"/>
        <w:rPr>
          <w:color w:val="000000"/>
        </w:rPr>
      </w:pPr>
      <w:r>
        <w:rPr>
          <w:color w:val="000000"/>
        </w:rPr>
        <w:t>Twenty-four years later, the Court set a limit to school searches when it held that the search of a student's underwear without reasonable suspicion of a violation of school rules is unconstitutional (</w:t>
      </w:r>
      <w:r>
        <w:rPr>
          <w:rStyle w:val="Emphasis"/>
          <w:color w:val="000000"/>
        </w:rPr>
        <w:t>Safford Unified School District v. Redding</w:t>
      </w:r>
      <w:r>
        <w:rPr>
          <w:color w:val="000000"/>
        </w:rPr>
        <w:t xml:space="preserve">, 557 U.S. 364 [2009]). In this case, a thirteen-year-old student, Savana Redding, was suspected by the assistant principal of the school of giving prohibited pills to other students. Redding denied all this and gave permission for the search of her belongings. The administrators searched her backpack and found nothing. The assistant principal then took the student to the office of the school nurse so her clothing could be searched. There the student was made to remove her outer clothing, then they told her to “pull her bra out and shake it, and to “pull out the elastic on her underpants, thus exposing her breasts and pelvic area to some </w:t>
      </w:r>
      <w:r>
        <w:rPr>
          <w:color w:val="000000"/>
        </w:rPr>
        <w:lastRenderedPageBreak/>
        <w:t>degree.” No drugs or other contraband were found. The student's mother later sued the school authorities and school district, claiming that the strip search was unconstitutional and that those involved should be held civilly liable because they violated a clearly established constitutional right.</w:t>
      </w:r>
    </w:p>
    <w:p w14:paraId="11BF89C5" w14:textId="77777777" w:rsidR="00AC7260" w:rsidRDefault="00AC7260" w:rsidP="00AC7260">
      <w:pPr>
        <w:rPr>
          <w:b/>
          <w:bCs/>
          <w:color w:val="000000"/>
          <w:sz w:val="26"/>
          <w:szCs w:val="26"/>
        </w:rPr>
      </w:pPr>
      <w:r>
        <w:rPr>
          <w:b/>
          <w:bCs/>
          <w:color w:val="000000"/>
          <w:sz w:val="26"/>
          <w:szCs w:val="26"/>
        </w:rPr>
        <w:t>Searches of Students and the Fourth Amendment</w:t>
      </w:r>
    </w:p>
    <w:p w14:paraId="7C14FA38" w14:textId="77777777" w:rsidR="00AC7260" w:rsidRDefault="00AC7260" w:rsidP="00AC7260">
      <w:pPr>
        <w:pStyle w:val="noindent"/>
        <w:spacing w:before="0" w:beforeAutospacing="0" w:after="0" w:afterAutospacing="0"/>
        <w:jc w:val="both"/>
        <w:rPr>
          <w:color w:val="000000"/>
        </w:rPr>
      </w:pPr>
      <w:r>
        <w:rPr>
          <w:color w:val="000000"/>
        </w:rPr>
        <w:t>“[The accommodation of the privacy interests of schoolchildren with the substantial need of teachers and administrators for freedom to maintain order in the schools does not require strict adherence to the requirement that searches be based on probable cause to believe that the subject of the search has violated or is violating the law. Rather, the legality of a search of a student should depend simply on the reasonableness, under all the circumstances, of the search.”</w:t>
      </w:r>
    </w:p>
    <w:p w14:paraId="4BD02443" w14:textId="77777777" w:rsidR="00AC7260" w:rsidRDefault="00AC7260" w:rsidP="00AC7260">
      <w:pPr>
        <w:pStyle w:val="footnote1"/>
        <w:spacing w:before="120" w:beforeAutospacing="0" w:after="120" w:afterAutospacing="0"/>
        <w:jc w:val="both"/>
        <w:rPr>
          <w:color w:val="000000"/>
          <w:sz w:val="19"/>
          <w:szCs w:val="19"/>
        </w:rPr>
      </w:pPr>
      <w:r>
        <w:rPr>
          <w:color w:val="000000"/>
          <w:sz w:val="19"/>
          <w:szCs w:val="19"/>
        </w:rPr>
        <w:t>Source:</w:t>
      </w:r>
      <w:r>
        <w:rPr>
          <w:rStyle w:val="apple-converted-space"/>
          <w:color w:val="000000"/>
          <w:sz w:val="19"/>
          <w:szCs w:val="19"/>
        </w:rPr>
        <w:t> </w:t>
      </w:r>
      <w:r>
        <w:rPr>
          <w:rStyle w:val="Emphasis"/>
          <w:color w:val="000000"/>
          <w:sz w:val="19"/>
          <w:szCs w:val="19"/>
        </w:rPr>
        <w:t>New Jersey v. T.L.O.</w:t>
      </w:r>
      <w:r>
        <w:rPr>
          <w:color w:val="000000"/>
          <w:sz w:val="19"/>
          <w:szCs w:val="19"/>
        </w:rPr>
        <w:t>, 469 U.S. 325 (1985).</w:t>
      </w:r>
    </w:p>
    <w:p w14:paraId="0B0C0A2A" w14:textId="77777777" w:rsidR="00AC7260" w:rsidRDefault="00AC7260" w:rsidP="00AC7260">
      <w:pPr>
        <w:pStyle w:val="indent"/>
        <w:spacing w:before="0" w:beforeAutospacing="0" w:after="0" w:afterAutospacing="0"/>
        <w:ind w:firstLine="360"/>
        <w:jc w:val="both"/>
        <w:rPr>
          <w:color w:val="000000"/>
        </w:rPr>
      </w:pPr>
      <w:r>
        <w:rPr>
          <w:color w:val="000000"/>
        </w:rPr>
        <w:t>On appeal the Court agreed with the student and held that the search violated her constitutional rights. However, the administrators and school district were not held civilly liable because they did not violate a “clearly established constitutional right,” which is required for civil liability. The majority opinion distinguished this case from</w:t>
      </w:r>
      <w:r>
        <w:rPr>
          <w:rStyle w:val="apple-converted-space"/>
          <w:color w:val="000000"/>
        </w:rPr>
        <w:t> </w:t>
      </w:r>
      <w:r>
        <w:rPr>
          <w:rStyle w:val="Emphasis"/>
          <w:color w:val="000000"/>
        </w:rPr>
        <w:t>New Jersey v. T.L.O.</w:t>
      </w:r>
      <w:r>
        <w:rPr>
          <w:color w:val="000000"/>
        </w:rPr>
        <w:t>, saying that the school authorities in</w:t>
      </w:r>
      <w:r>
        <w:rPr>
          <w:rStyle w:val="apple-converted-space"/>
          <w:color w:val="000000"/>
        </w:rPr>
        <w:t> </w:t>
      </w:r>
      <w:r>
        <w:rPr>
          <w:rStyle w:val="Emphasis"/>
          <w:color w:val="000000"/>
        </w:rPr>
        <w:t>Redding</w:t>
      </w:r>
      <w:r>
        <w:rPr>
          <w:rStyle w:val="apple-converted-space"/>
          <w:color w:val="000000"/>
        </w:rPr>
        <w:t> </w:t>
      </w:r>
      <w:r>
        <w:rPr>
          <w:color w:val="000000"/>
        </w:rPr>
        <w:t>went beyond what was allowed in the</w:t>
      </w:r>
      <w:r>
        <w:rPr>
          <w:rStyle w:val="apple-converted-space"/>
          <w:color w:val="000000"/>
        </w:rPr>
        <w:t> </w:t>
      </w:r>
      <w:r>
        <w:rPr>
          <w:rStyle w:val="Emphasis"/>
          <w:color w:val="000000"/>
        </w:rPr>
        <w:t>T.L.O</w:t>
      </w:r>
      <w:r>
        <w:rPr>
          <w:rStyle w:val="apple-converted-space"/>
          <w:color w:val="000000"/>
        </w:rPr>
        <w:t> </w:t>
      </w:r>
      <w:r>
        <w:rPr>
          <w:color w:val="000000"/>
        </w:rPr>
        <w:t>case. Of importance to the Court was that there was no “reasonable suspicion” in</w:t>
      </w:r>
      <w:r>
        <w:rPr>
          <w:rStyle w:val="apple-converted-space"/>
          <w:color w:val="000000"/>
        </w:rPr>
        <w:t> </w:t>
      </w:r>
      <w:r>
        <w:rPr>
          <w:rStyle w:val="Emphasis"/>
          <w:color w:val="000000"/>
        </w:rPr>
        <w:t>Redding</w:t>
      </w:r>
      <w:r>
        <w:rPr>
          <w:rStyle w:val="apple-converted-space"/>
          <w:color w:val="000000"/>
        </w:rPr>
        <w:t> </w:t>
      </w:r>
      <w:r>
        <w:rPr>
          <w:color w:val="000000"/>
        </w:rPr>
        <w:t>to justify the highly intrusive search.</w:t>
      </w:r>
    </w:p>
    <w:p w14:paraId="67EEAF58" w14:textId="77777777" w:rsidR="00AC7260" w:rsidRDefault="00AC7260" w:rsidP="00AC7260">
      <w:pPr>
        <w:pStyle w:val="Heading3"/>
        <w:spacing w:before="240" w:after="120"/>
        <w:rPr>
          <w:color w:val="000000"/>
          <w:sz w:val="29"/>
          <w:szCs w:val="29"/>
        </w:rPr>
      </w:pPr>
      <w:hyperlink r:id="rId123" w:anchor="toc-ch7-25" w:history="1">
        <w:r>
          <w:rPr>
            <w:rStyle w:val="Hyperlink"/>
            <w:color w:val="000000"/>
            <w:sz w:val="29"/>
            <w:szCs w:val="29"/>
          </w:rPr>
          <w:t>Testing Non-College Students for Drugs</w:t>
        </w:r>
      </w:hyperlink>
    </w:p>
    <w:p w14:paraId="4AC9A4C0" w14:textId="77777777" w:rsidR="00AC7260" w:rsidRDefault="00AC7260" w:rsidP="00AC7260">
      <w:pPr>
        <w:pStyle w:val="noindent"/>
        <w:spacing w:before="0" w:beforeAutospacing="0" w:after="0" w:afterAutospacing="0"/>
        <w:jc w:val="both"/>
        <w:rPr>
          <w:color w:val="000000"/>
        </w:rPr>
      </w:pPr>
      <w:r>
        <w:rPr>
          <w:color w:val="000000"/>
        </w:rPr>
        <w:t>Can school administrators test non-college students for drugs? Any form of drug testing, whether it be of police officers or students, involves a potential violation of the Fourth Amendment because it is a form of search and seizure. The Court has held that drug testing high school student athletes does not require individualized suspicion and that random drug testing is constitutional (</w:t>
      </w:r>
      <w:r>
        <w:rPr>
          <w:rStyle w:val="Emphasis"/>
          <w:color w:val="000000"/>
        </w:rPr>
        <w:t>Vernonia School District v. Acton</w:t>
      </w:r>
      <w:r>
        <w:rPr>
          <w:rStyle w:val="apple-converted-space"/>
          <w:color w:val="000000"/>
        </w:rPr>
        <w:t> </w:t>
      </w:r>
      <w:r>
        <w:rPr>
          <w:color w:val="000000"/>
        </w:rPr>
        <w:t>(515 U.S. 646 [1995]). In this case, the Vernonia School District discovered that some of their high school athletes had participated in illicit drug use. The school authorities then adopted a policy that authorized random urinalysis drug testing of its student-athletes. James Acton was denied participation in the football program when he and his parents refused to consent to drug testing. On appeal, the Court held that the drug-testing policy was valid, saying that the constitutionality of a search is determined by “balancing the intrusion on the individual's Fourth Amendment interests against the promotion of legitimate governmental interests.” Finding that the privacy interests involved when collecting urine samples are “negligible,” the Court concluded that high school athletes are under state supervision when they are in school and are subject to greater control than free adults.</w:t>
      </w:r>
    </w:p>
    <w:p w14:paraId="34C2352A"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Vernonia School District v. Acton</w:t>
      </w:r>
      <w:r>
        <w:rPr>
          <w:rStyle w:val="apple-converted-space"/>
          <w:color w:val="000000"/>
          <w:sz w:val="20"/>
          <w:szCs w:val="20"/>
        </w:rPr>
        <w:t> </w:t>
      </w:r>
      <w:r>
        <w:rPr>
          <w:color w:val="000000"/>
          <w:sz w:val="20"/>
          <w:szCs w:val="20"/>
        </w:rPr>
        <w:t>(1995)</w:t>
      </w:r>
    </w:p>
    <w:p w14:paraId="197E56D0" w14:textId="77777777" w:rsidR="00AC7260" w:rsidRDefault="00AC7260" w:rsidP="00AC7260">
      <w:pPr>
        <w:pStyle w:val="indent"/>
        <w:spacing w:before="0" w:beforeAutospacing="0" w:after="0" w:afterAutospacing="0"/>
        <w:ind w:firstLine="360"/>
        <w:jc w:val="both"/>
        <w:rPr>
          <w:color w:val="000000"/>
        </w:rPr>
      </w:pPr>
      <w:r>
        <w:rPr>
          <w:color w:val="000000"/>
        </w:rPr>
        <w:t>Seven years later, the Court extended this holding in</w:t>
      </w:r>
      <w:r>
        <w:rPr>
          <w:rStyle w:val="apple-converted-space"/>
          <w:color w:val="000000"/>
        </w:rPr>
        <w:t> </w:t>
      </w:r>
      <w:r>
        <w:rPr>
          <w:rStyle w:val="Emphasis"/>
          <w:color w:val="000000"/>
        </w:rPr>
        <w:t>Board of Education of Independent School District No. 92 of Pottawatomie County et al. v. Earls</w:t>
      </w:r>
      <w:r>
        <w:rPr>
          <w:color w:val="000000"/>
        </w:rPr>
        <w:t>, 536 U.S. 822 (2002), another case involving middle and high school students. The Court held that the random urinalysis testing policy that applied to all middle and high school students participating in any extracurricular activity, not just athletics, was constitutional. The Court stressed that the random drug testing was “a reasonable means of furthering the School District's important interest in preventing and deterring drug use among its schoolchildren.”</w:t>
      </w:r>
    </w:p>
    <w:p w14:paraId="1ED53924" w14:textId="77777777" w:rsidR="00AC7260" w:rsidRDefault="00AC7260" w:rsidP="00AC7260">
      <w:pPr>
        <w:pStyle w:val="noindent"/>
        <w:spacing w:before="240" w:beforeAutospacing="0" w:after="0" w:afterAutospacing="0"/>
        <w:jc w:val="both"/>
        <w:rPr>
          <w:color w:val="000000"/>
        </w:rPr>
      </w:pPr>
      <w:r>
        <w:rPr>
          <w:b/>
          <w:bCs/>
          <w:color w:val="000000"/>
        </w:rPr>
        <w:t>Do the</w:t>
      </w:r>
      <w:r>
        <w:rPr>
          <w:rStyle w:val="apple-converted-space"/>
          <w:b/>
          <w:bCs/>
          <w:color w:val="000000"/>
        </w:rPr>
        <w:t> </w:t>
      </w:r>
      <w:r>
        <w:rPr>
          <w:rStyle w:val="Emphasis"/>
          <w:b/>
          <w:bCs/>
          <w:color w:val="000000"/>
        </w:rPr>
        <w:t>T.L.O., Acton</w:t>
      </w:r>
      <w:r>
        <w:rPr>
          <w:b/>
          <w:bCs/>
          <w:color w:val="000000"/>
        </w:rPr>
        <w:t>, and</w:t>
      </w:r>
      <w:r>
        <w:rPr>
          <w:rStyle w:val="apple-converted-space"/>
          <w:b/>
          <w:bCs/>
          <w:color w:val="000000"/>
        </w:rPr>
        <w:t> </w:t>
      </w:r>
      <w:r>
        <w:rPr>
          <w:rStyle w:val="Emphasis"/>
          <w:b/>
          <w:bCs/>
          <w:color w:val="000000"/>
        </w:rPr>
        <w:t>Earls</w:t>
      </w:r>
      <w:r>
        <w:rPr>
          <w:rStyle w:val="apple-converted-space"/>
          <w:b/>
          <w:bCs/>
          <w:color w:val="000000"/>
        </w:rPr>
        <w:t> </w:t>
      </w:r>
      <w:r>
        <w:rPr>
          <w:b/>
          <w:bCs/>
          <w:color w:val="000000"/>
        </w:rPr>
        <w:t>Decisions Apply to College Students?</w:t>
      </w:r>
      <w:r>
        <w:rPr>
          <w:rStyle w:val="apple-converted-space"/>
          <w:color w:val="000000"/>
        </w:rPr>
        <w:t> </w:t>
      </w:r>
      <w:r>
        <w:rPr>
          <w:color w:val="000000"/>
        </w:rPr>
        <w:t xml:space="preserve">This was not addressed by the Court in any of the preceding cases, but the answer is no, because most college students are </w:t>
      </w:r>
      <w:r>
        <w:rPr>
          <w:color w:val="000000"/>
        </w:rPr>
        <w:lastRenderedPageBreak/>
        <w:t>adults, so the in loco parentis justification (which is the basis for special needs searches in public elementary and high schools) does not apply. Lower courts have held that college students, regardless of age, are considered adults</w:t>
      </w:r>
      <w:r>
        <w:rPr>
          <w:rStyle w:val="apple-converted-space"/>
          <w:color w:val="000000"/>
        </w:rPr>
        <w:t> </w:t>
      </w:r>
      <w:r>
        <w:rPr>
          <w:color w:val="000000"/>
        </w:rPr>
        <w:t>for the purpose of determining constitutional rights. Nonetheless, there are reasons to believe that drug testing college students will be deemed valid in cases where there is evidence of drug use by students involved in athletics or other college or university programs where sufficient justification, whatever that might be, for drug testing exists.</w:t>
      </w:r>
    </w:p>
    <w:p w14:paraId="74FDC9CE" w14:textId="77777777" w:rsidR="00AC7260" w:rsidRDefault="00AC7260" w:rsidP="00AC7260">
      <w:pPr>
        <w:pStyle w:val="Heading3"/>
        <w:spacing w:before="240" w:after="120"/>
        <w:rPr>
          <w:color w:val="000000"/>
          <w:sz w:val="29"/>
          <w:szCs w:val="29"/>
        </w:rPr>
      </w:pPr>
      <w:hyperlink r:id="rId124" w:anchor="toc-ch7-26" w:history="1">
        <w:r>
          <w:rPr>
            <w:rStyle w:val="Hyperlink"/>
            <w:color w:val="000000"/>
            <w:sz w:val="29"/>
            <w:szCs w:val="29"/>
          </w:rPr>
          <w:t>Airport Searches</w:t>
        </w:r>
      </w:hyperlink>
    </w:p>
    <w:p w14:paraId="4733D8B9" w14:textId="77777777" w:rsidR="00AC7260" w:rsidRDefault="00AC7260" w:rsidP="00AC7260">
      <w:pPr>
        <w:pStyle w:val="noindent"/>
        <w:spacing w:before="0" w:beforeAutospacing="0" w:after="0" w:afterAutospacing="0"/>
        <w:jc w:val="both"/>
        <w:rPr>
          <w:color w:val="000000"/>
        </w:rPr>
      </w:pPr>
      <w:r>
        <w:rPr>
          <w:color w:val="000000"/>
        </w:rPr>
        <w:t>Airport searches come under special needs and therefore do not need probable cause, reasonable suspicion, or even mere suspicion. They are a day-to-day reality of modern air travel and are done routinely. Airport searches are based on proven safety needs. Long before the tragic events of 9/11, airport searches had drawn approval from the courts. In</w:t>
      </w:r>
      <w:r>
        <w:rPr>
          <w:rStyle w:val="apple-converted-space"/>
          <w:color w:val="000000"/>
        </w:rPr>
        <w:t> </w:t>
      </w:r>
      <w:r>
        <w:rPr>
          <w:rStyle w:val="Emphasis"/>
          <w:color w:val="000000"/>
        </w:rPr>
        <w:t>United States v. Davis</w:t>
      </w:r>
      <w:r>
        <w:rPr>
          <w:color w:val="000000"/>
        </w:rPr>
        <w:t>, 482 F.2d 893 (9th Cir. 1973), the Court said, “The need to prevent airline hijacking is unquestionably grave and urgent…. A pre-boarding screening of all passengers and carry-on articles sufficient in scope to detect the presence of weapons or explosives is reasonably necessary to meet the need.”</w:t>
      </w:r>
    </w:p>
    <w:p w14:paraId="2B0E18D6" w14:textId="77777777" w:rsidR="00AC7260" w:rsidRDefault="00AC7260" w:rsidP="00AC7260">
      <w:pPr>
        <w:pStyle w:val="indent"/>
        <w:spacing w:before="0" w:beforeAutospacing="0" w:after="0" w:afterAutospacing="0"/>
        <w:ind w:firstLine="360"/>
        <w:jc w:val="both"/>
        <w:rPr>
          <w:color w:val="000000"/>
        </w:rPr>
      </w:pPr>
      <w:r>
        <w:rPr>
          <w:color w:val="000000"/>
        </w:rPr>
        <w:t>The Fourth Amendment issues in searches and seizures at airports are many, among them: the preboarding request for identification, the search of a passenger's carry-on luggage, the search of a passenger's checked baggage, and the search of the person. Although Fourth Amendment issues have been an ongoing source of dispute, a great majority of search and seizure challenges filed by airplane passengers have been rejected by the courts. One court of appeals judge (</w:t>
      </w:r>
      <w:r>
        <w:rPr>
          <w:rStyle w:val="Emphasis"/>
          <w:color w:val="000000"/>
        </w:rPr>
        <w:t>United States v. Bell</w:t>
      </w:r>
      <w:r>
        <w:rPr>
          <w:color w:val="000000"/>
        </w:rPr>
        <w:t>, 464 F.2d 667 [1972]) years ago justified airport searches in this way:</w:t>
      </w:r>
    </w:p>
    <w:p w14:paraId="56DB853C" w14:textId="77777777" w:rsidR="00AC7260" w:rsidRDefault="00AC7260" w:rsidP="00AC7260">
      <w:pPr>
        <w:pStyle w:val="noindent"/>
        <w:spacing w:before="0" w:beforeAutospacing="0" w:after="0" w:afterAutospacing="0"/>
        <w:jc w:val="both"/>
        <w:rPr>
          <w:color w:val="000000"/>
          <w:sz w:val="22"/>
          <w:szCs w:val="22"/>
        </w:rPr>
      </w:pPr>
      <w:r>
        <w:rPr>
          <w:color w:val="000000"/>
          <w:sz w:val="22"/>
          <w:szCs w:val="22"/>
        </w:rPr>
        <w:t>When the risk is the jeopardy to hundreds of human lives and millions of dollars of property inherent in the pirating or blowing up of a large airplane, that danger alone meets the test of reasonableness, so long as the search is conducted in good faith for the purpose of preventing hijacking or like damage and with reasonable scope and the passenger has been given advance notice of his liability to such a search so that he can avoid it by choosing not to travel by air.</w:t>
      </w:r>
    </w:p>
    <w:p w14:paraId="36060275" w14:textId="3857F364" w:rsidR="00AC7260" w:rsidRDefault="00AC7260" w:rsidP="009826EC"/>
    <w:p w14:paraId="7E5E544D" w14:textId="77777777" w:rsidR="00AC7260" w:rsidRDefault="00AC7260" w:rsidP="00AC7260">
      <w:pPr>
        <w:pStyle w:val="indent"/>
        <w:spacing w:before="0" w:beforeAutospacing="0" w:after="0" w:afterAutospacing="0"/>
        <w:ind w:firstLine="360"/>
        <w:jc w:val="both"/>
        <w:rPr>
          <w:color w:val="000000"/>
        </w:rPr>
      </w:pPr>
      <w:r>
        <w:rPr>
          <w:color w:val="000000"/>
        </w:rPr>
        <w:t xml:space="preserve">The use of police dogs to sniff containers and luggage to detect contraband at airports does not constitute a search. No warrant or probable cause is needed </w:t>
      </w:r>
      <w:proofErr w:type="gramStart"/>
      <w:r>
        <w:rPr>
          <w:color w:val="000000"/>
        </w:rPr>
        <w:t>as long as</w:t>
      </w:r>
      <w:proofErr w:type="gramEnd"/>
      <w:r>
        <w:rPr>
          <w:color w:val="000000"/>
        </w:rPr>
        <w:t xml:space="preserve"> the container or luggage is located in a public place. In</w:t>
      </w:r>
      <w:r>
        <w:rPr>
          <w:rStyle w:val="apple-converted-space"/>
          <w:color w:val="000000"/>
        </w:rPr>
        <w:t> </w:t>
      </w:r>
      <w:r>
        <w:rPr>
          <w:rStyle w:val="Emphasis"/>
          <w:color w:val="000000"/>
        </w:rPr>
        <w:t>United States v. Sullivan</w:t>
      </w:r>
      <w:r>
        <w:rPr>
          <w:color w:val="000000"/>
        </w:rPr>
        <w:t xml:space="preserve">, 625 F.2d 9 (4th Cir. 1980), the court said, “It cannot be considered a search within the protection of the Fourth Amendment for a dog to sniff bags handled by an airline. There can be no reasonable expectation of privacy when any passenger's bags may be subjected to </w:t>
      </w:r>
      <w:proofErr w:type="gramStart"/>
      <w:r>
        <w:rPr>
          <w:color w:val="000000"/>
        </w:rPr>
        <w:t>close scrutiny</w:t>
      </w:r>
      <w:proofErr w:type="gramEnd"/>
      <w:r>
        <w:rPr>
          <w:color w:val="000000"/>
        </w:rPr>
        <w:t xml:space="preserve"> for the protection of public safety.”</w:t>
      </w:r>
    </w:p>
    <w:p w14:paraId="03D4F83A" w14:textId="77777777" w:rsidR="00AC7260" w:rsidRDefault="00AC7260" w:rsidP="00AC7260">
      <w:pPr>
        <w:pStyle w:val="indent"/>
        <w:spacing w:before="0" w:beforeAutospacing="0" w:after="0" w:afterAutospacing="0"/>
        <w:ind w:firstLine="360"/>
        <w:jc w:val="both"/>
        <w:rPr>
          <w:color w:val="000000"/>
        </w:rPr>
      </w:pPr>
      <w:r>
        <w:rPr>
          <w:color w:val="000000"/>
        </w:rPr>
        <w:t xml:space="preserve">The invasiveness of some recent airport searches has raised concerns about constitutionality, particularly the federal Transportation Security Administration (TSA) authorization of the use of full-body scans in airports. It can be argued that the use of full-body scanners </w:t>
      </w:r>
      <w:proofErr w:type="gramStart"/>
      <w:r>
        <w:rPr>
          <w:color w:val="000000"/>
        </w:rPr>
        <w:t>produce</w:t>
      </w:r>
      <w:proofErr w:type="gramEnd"/>
      <w:r>
        <w:rPr>
          <w:color w:val="000000"/>
        </w:rPr>
        <w:t xml:space="preserve"> images of virtually naked bodies and grossly violate a passenger's right to privacy. The courts, however, have put a stop to a practice that a great majority of the public is willing to accept because it helps to ensure travel safety.</w:t>
      </w:r>
    </w:p>
    <w:p w14:paraId="1C436C10" w14:textId="77777777" w:rsidR="00AC7260" w:rsidRDefault="00AC7260" w:rsidP="00AC7260">
      <w:pPr>
        <w:pStyle w:val="Heading3"/>
        <w:spacing w:before="240" w:after="120"/>
        <w:rPr>
          <w:color w:val="000000"/>
          <w:sz w:val="29"/>
          <w:szCs w:val="29"/>
        </w:rPr>
      </w:pPr>
      <w:hyperlink r:id="rId125" w:anchor="toc-ch7-27" w:history="1">
        <w:r>
          <w:rPr>
            <w:rStyle w:val="Hyperlink"/>
            <w:color w:val="000000"/>
            <w:sz w:val="29"/>
            <w:szCs w:val="29"/>
          </w:rPr>
          <w:t>Searches of Probationers and Parolees</w:t>
        </w:r>
      </w:hyperlink>
    </w:p>
    <w:p w14:paraId="619574FB" w14:textId="77777777" w:rsidR="00AC7260" w:rsidRDefault="00AC7260" w:rsidP="00AC7260">
      <w:pPr>
        <w:pStyle w:val="noindent"/>
        <w:spacing w:before="0" w:beforeAutospacing="0" w:after="0" w:afterAutospacing="0"/>
        <w:jc w:val="both"/>
        <w:rPr>
          <w:color w:val="000000"/>
        </w:rPr>
      </w:pPr>
      <w:r>
        <w:rPr>
          <w:color w:val="000000"/>
        </w:rPr>
        <w:t>In probation cases, the Court has held that a state law or agency rule permitting probation officers to search probationers' homes without a warrant and based on reasonable grounds (lower than probable cause) is a reasonable response to the special needs of the probation system and is therefore constitutional (</w:t>
      </w:r>
      <w:r>
        <w:rPr>
          <w:rStyle w:val="Emphasis"/>
          <w:color w:val="000000"/>
        </w:rPr>
        <w:t>Griffin v. Wisconsin</w:t>
      </w:r>
      <w:r>
        <w:rPr>
          <w:color w:val="000000"/>
        </w:rPr>
        <w:t>, 483 U.S.</w:t>
      </w:r>
      <w:r>
        <w:rPr>
          <w:rStyle w:val="apple-converted-space"/>
          <w:color w:val="000000"/>
        </w:rPr>
        <w:t> </w:t>
      </w:r>
      <w:r>
        <w:rPr>
          <w:color w:val="000000"/>
        </w:rPr>
        <w:t xml:space="preserve">868 [1987]). The Court added that the </w:t>
      </w:r>
      <w:r>
        <w:rPr>
          <w:color w:val="000000"/>
        </w:rPr>
        <w:lastRenderedPageBreak/>
        <w:t>supervision of probationers is a special need of the state that justifies a departure from the usual warrant and probable cause requirements.</w:t>
      </w:r>
    </w:p>
    <w:p w14:paraId="3DB5B2DA"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Griffin v. Wisconsin</w:t>
      </w:r>
      <w:r>
        <w:rPr>
          <w:rStyle w:val="apple-converted-space"/>
          <w:color w:val="000000"/>
          <w:sz w:val="20"/>
          <w:szCs w:val="20"/>
        </w:rPr>
        <w:t> </w:t>
      </w:r>
      <w:r>
        <w:rPr>
          <w:color w:val="000000"/>
          <w:sz w:val="20"/>
          <w:szCs w:val="20"/>
        </w:rPr>
        <w:t>(1987)</w:t>
      </w:r>
    </w:p>
    <w:p w14:paraId="7E9B1DB9"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United States v. Knights</w:t>
      </w:r>
      <w:r>
        <w:rPr>
          <w:color w:val="000000"/>
        </w:rPr>
        <w:t xml:space="preserve">, 534 U.S. 112 (2001), the Court held that a warrantless search by an officer of a probationer's apartment, supported by reasonable suspicion and authorized by the judge as a condition of probation, is valid under the Fourth Amendment under the special </w:t>
      </w:r>
      <w:proofErr w:type="gramStart"/>
      <w:r>
        <w:rPr>
          <w:color w:val="000000"/>
        </w:rPr>
        <w:t>needs</w:t>
      </w:r>
      <w:proofErr w:type="gramEnd"/>
      <w:r>
        <w:rPr>
          <w:color w:val="000000"/>
        </w:rPr>
        <w:t xml:space="preserve"> exception. The Court said that the totality of the circumstances is what determines whether a search is reasonable under the Fourth Amendment. Some states allow warrantless searches of probationers' homes by probation officers based on</w:t>
      </w:r>
      <w:r>
        <w:rPr>
          <w:rStyle w:val="apple-converted-space"/>
          <w:color w:val="000000"/>
        </w:rPr>
        <w:t> </w:t>
      </w:r>
      <w:r>
        <w:rPr>
          <w:rStyle w:val="Emphasis"/>
          <w:color w:val="000000"/>
        </w:rPr>
        <w:t>mere suspicion</w:t>
      </w:r>
      <w:r>
        <w:rPr>
          <w:color w:val="000000"/>
        </w:rPr>
        <w:t xml:space="preserve">, an even lower degree of certainty than reasonable grounds. Although the Supreme Court has not ruled on this issue, lower courts have upheld the practice based on the twin concepts of </w:t>
      </w:r>
      <w:proofErr w:type="gramStart"/>
      <w:r>
        <w:rPr>
          <w:color w:val="000000"/>
        </w:rPr>
        <w:t>probationers'</w:t>
      </w:r>
      <w:proofErr w:type="gramEnd"/>
      <w:r>
        <w:rPr>
          <w:rStyle w:val="apple-converted-space"/>
          <w:color w:val="000000"/>
        </w:rPr>
        <w:t> </w:t>
      </w:r>
      <w:r>
        <w:rPr>
          <w:rStyle w:val="Emphasis"/>
          <w:color w:val="000000"/>
        </w:rPr>
        <w:t>diminished constitutional rights</w:t>
      </w:r>
      <w:r>
        <w:rPr>
          <w:rStyle w:val="apple-converted-space"/>
          <w:color w:val="000000"/>
        </w:rPr>
        <w:t> </w:t>
      </w:r>
      <w:r>
        <w:rPr>
          <w:color w:val="000000"/>
        </w:rPr>
        <w:t>and</w:t>
      </w:r>
      <w:r>
        <w:rPr>
          <w:rStyle w:val="apple-converted-space"/>
          <w:color w:val="000000"/>
        </w:rPr>
        <w:t> </w:t>
      </w:r>
      <w:r>
        <w:rPr>
          <w:rStyle w:val="Emphasis"/>
          <w:color w:val="000000"/>
        </w:rPr>
        <w:t>special needs.</w:t>
      </w:r>
    </w:p>
    <w:p w14:paraId="1FD03BD1"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United States v. Knights</w:t>
      </w:r>
      <w:r>
        <w:rPr>
          <w:rStyle w:val="apple-converted-space"/>
          <w:color w:val="000000"/>
          <w:sz w:val="20"/>
          <w:szCs w:val="20"/>
        </w:rPr>
        <w:t> </w:t>
      </w:r>
      <w:r>
        <w:rPr>
          <w:color w:val="000000"/>
          <w:sz w:val="20"/>
          <w:szCs w:val="20"/>
        </w:rPr>
        <w:t>(2001)</w:t>
      </w:r>
    </w:p>
    <w:p w14:paraId="12939346" w14:textId="77777777" w:rsidR="00AC7260" w:rsidRDefault="00AC7260" w:rsidP="00AC7260">
      <w:pPr>
        <w:pStyle w:val="indent"/>
        <w:spacing w:before="0" w:beforeAutospacing="0" w:after="0" w:afterAutospacing="0"/>
        <w:ind w:firstLine="360"/>
        <w:jc w:val="both"/>
        <w:rPr>
          <w:color w:val="000000"/>
        </w:rPr>
      </w:pPr>
      <w:r>
        <w:rPr>
          <w:color w:val="000000"/>
        </w:rPr>
        <w:t xml:space="preserve">As for parolees (those released from prison after having served a part of their sentence), the Court has held that the </w:t>
      </w:r>
      <w:proofErr w:type="spellStart"/>
      <w:r>
        <w:rPr>
          <w:color w:val="000000"/>
        </w:rPr>
        <w:t>suspicionless</w:t>
      </w:r>
      <w:proofErr w:type="spellEnd"/>
      <w:r>
        <w:rPr>
          <w:color w:val="000000"/>
        </w:rPr>
        <w:t xml:space="preserve"> search of a parolee by a law enforcement officer is valid under the Fourth Amendment (</w:t>
      </w:r>
      <w:r>
        <w:rPr>
          <w:rStyle w:val="Emphasis"/>
          <w:color w:val="000000"/>
        </w:rPr>
        <w:t>Samson v. California</w:t>
      </w:r>
      <w:r>
        <w:rPr>
          <w:color w:val="000000"/>
        </w:rPr>
        <w:t>, 547 U.S. 843 [2006]). In this case (also discussed in</w:t>
      </w:r>
      <w:r>
        <w:rPr>
          <w:rStyle w:val="apple-converted-space"/>
          <w:color w:val="000000"/>
        </w:rPr>
        <w:t> </w:t>
      </w:r>
      <w:hyperlink r:id="rId126" w:anchor="ch4" w:history="1">
        <w:r>
          <w:rPr>
            <w:rStyle w:val="Hyperlink"/>
          </w:rPr>
          <w:t>Chapter 4</w:t>
        </w:r>
      </w:hyperlink>
      <w:r>
        <w:rPr>
          <w:color w:val="000000"/>
        </w:rPr>
        <w:t>), the police officer, who knew Samson, stopped him and asked questions. Samson was searched, and the officer found methamphetamine in a cigarette box in Samson's shirt pocket. The officer later admitted that he stopped Samson solely because he knew he was on parole. Convicted of drug possession, Samson sought to exclude the evidence, saying it was the product of an unconstitutional search. The Court rejected his claim, ruling that the search was valid because convicted offenders have diminished constitutional rights and that, technically, parolees are under the custody of the Department of Corrections and are therefore still prisoners. The Court recognized the continuum of state-imposed punishments, saying that “on this continuum, parolees have fewer expectations of privacy than probationers, because parole is more akin to imprisonment than probation is to imprisonment.” Although the Court did not address the issue directly, it noted that one of the conditions of Samson's parole (a common condition for release on parole) was that the parolee consent to being searched “with or without a warrant and with or without cause.”</w:t>
      </w:r>
    </w:p>
    <w:p w14:paraId="4285AFCF"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Samson v. California</w:t>
      </w:r>
      <w:r>
        <w:rPr>
          <w:rStyle w:val="apple-converted-space"/>
          <w:color w:val="000000"/>
          <w:sz w:val="20"/>
          <w:szCs w:val="20"/>
        </w:rPr>
        <w:t> </w:t>
      </w:r>
      <w:r>
        <w:rPr>
          <w:color w:val="000000"/>
          <w:sz w:val="20"/>
          <w:szCs w:val="20"/>
        </w:rPr>
        <w:t>(2006)</w:t>
      </w:r>
    </w:p>
    <w:p w14:paraId="1DB667B3" w14:textId="77777777" w:rsidR="00AC7260" w:rsidRDefault="00AC7260" w:rsidP="00AC7260">
      <w:pPr>
        <w:pStyle w:val="indent"/>
        <w:spacing w:before="0" w:beforeAutospacing="0" w:after="0" w:afterAutospacing="0"/>
        <w:ind w:firstLine="360"/>
        <w:jc w:val="both"/>
        <w:rPr>
          <w:color w:val="000000"/>
        </w:rPr>
      </w:pPr>
      <w:r>
        <w:rPr>
          <w:color w:val="000000"/>
        </w:rPr>
        <w:t>In summary, probationers and parolees have minimal constitutional rights under the Fourth Amendment. The issue is important because probationers and parolees disproportionately commit more crimes than those who have had no prior convictions, and the number of people either on probation or parole continues to increase.</w:t>
      </w:r>
    </w:p>
    <w:p w14:paraId="79B50D26" w14:textId="77777777" w:rsidR="00AC7260" w:rsidRDefault="00AC7260" w:rsidP="00AC7260">
      <w:pPr>
        <w:pStyle w:val="Heading3"/>
        <w:spacing w:before="240" w:after="120"/>
        <w:rPr>
          <w:color w:val="000000"/>
          <w:sz w:val="29"/>
          <w:szCs w:val="29"/>
        </w:rPr>
      </w:pPr>
      <w:hyperlink r:id="rId127" w:anchor="toc-ch7-28" w:history="1">
        <w:r>
          <w:rPr>
            <w:rStyle w:val="Hyperlink"/>
            <w:color w:val="000000"/>
            <w:sz w:val="29"/>
            <w:szCs w:val="29"/>
          </w:rPr>
          <w:t>The Police and Special Needs</w:t>
        </w:r>
      </w:hyperlink>
    </w:p>
    <w:p w14:paraId="31C663D1" w14:textId="77777777" w:rsidR="00AC7260" w:rsidRDefault="00AC7260" w:rsidP="00AC7260">
      <w:pPr>
        <w:pStyle w:val="noindent"/>
        <w:spacing w:before="0" w:beforeAutospacing="0" w:after="0" w:afterAutospacing="0"/>
        <w:jc w:val="both"/>
        <w:rPr>
          <w:color w:val="000000"/>
        </w:rPr>
      </w:pPr>
      <w:r>
        <w:rPr>
          <w:color w:val="000000"/>
        </w:rPr>
        <w:t xml:space="preserve">The special needs exception to the warrant and probable cause requirements is a fast-developing area of the law on searches and seizures. The Court will likely add other situations in the future </w:t>
      </w:r>
      <w:proofErr w:type="gramStart"/>
      <w:r>
        <w:rPr>
          <w:color w:val="000000"/>
        </w:rPr>
        <w:t>similar to</w:t>
      </w:r>
      <w:proofErr w:type="gramEnd"/>
      <w:r>
        <w:rPr>
          <w:color w:val="000000"/>
        </w:rPr>
        <w:t xml:space="preserve"> those discussed earlier that it considers as qualifying under the category of special needs. Like many other legal terms,</w:t>
      </w:r>
      <w:r>
        <w:rPr>
          <w:rStyle w:val="apple-converted-space"/>
          <w:color w:val="000000"/>
        </w:rPr>
        <w:t> </w:t>
      </w:r>
      <w:r>
        <w:rPr>
          <w:rStyle w:val="Emphasis"/>
          <w:color w:val="000000"/>
        </w:rPr>
        <w:t>special needs</w:t>
      </w:r>
      <w:r>
        <w:rPr>
          <w:rStyle w:val="apple-converted-space"/>
          <w:color w:val="000000"/>
        </w:rPr>
        <w:t> </w:t>
      </w:r>
      <w:proofErr w:type="gramStart"/>
      <w:r>
        <w:rPr>
          <w:color w:val="000000"/>
        </w:rPr>
        <w:t>has</w:t>
      </w:r>
      <w:proofErr w:type="gramEnd"/>
      <w:r>
        <w:rPr>
          <w:color w:val="000000"/>
        </w:rPr>
        <w:t xml:space="preserve"> no fixed meaning and therefore develops and evolves as the need arises.</w:t>
      </w:r>
    </w:p>
    <w:p w14:paraId="22F009E4" w14:textId="77777777" w:rsidR="00AC7260" w:rsidRDefault="00AC7260" w:rsidP="00AC7260">
      <w:pPr>
        <w:pStyle w:val="indent"/>
        <w:spacing w:before="0" w:beforeAutospacing="0" w:after="0" w:afterAutospacing="0"/>
        <w:ind w:firstLine="360"/>
        <w:jc w:val="both"/>
        <w:rPr>
          <w:color w:val="000000"/>
        </w:rPr>
      </w:pPr>
      <w:r>
        <w:rPr>
          <w:color w:val="000000"/>
        </w:rPr>
        <w:t xml:space="preserve">The special needs exception, however, is of no day-to-day concern in policing because the searches are conducted by administrative officials, not by the police. There are instances, though, when the police are asked by administrative officials (as in school searches, searches in juvenile detention centers, and searches by probation officers) to help. In these cases, whether it is an administrative search (and therefore falls under special needs) or a police search (and therefore subject to the probable cause and warrant requirement) is determined by this test: Did </w:t>
      </w:r>
      <w:r>
        <w:rPr>
          <w:color w:val="000000"/>
        </w:rPr>
        <w:lastRenderedPageBreak/>
        <w:t>administrative officials ask the</w:t>
      </w:r>
      <w:r>
        <w:rPr>
          <w:rStyle w:val="apple-converted-space"/>
          <w:color w:val="000000"/>
        </w:rPr>
        <w:t> </w:t>
      </w:r>
      <w:r>
        <w:rPr>
          <w:color w:val="000000"/>
        </w:rPr>
        <w:t>police for help during the search, or are the administrative officials being used by the police as an excuse to search things and places they otherwise cannot search or seize because they lack probable cause? If administrators use the police for help, then it is a special needs search. Conversely, if the administrators are used by the police to do something they otherwise could not legally do, then it is a regular police search and needs a warrant and probable cause to be valid.</w:t>
      </w:r>
    </w:p>
    <w:p w14:paraId="212115E7" w14:textId="309B0630" w:rsidR="00AC7260" w:rsidRDefault="00AC7260" w:rsidP="009826EC"/>
    <w:p w14:paraId="62164170" w14:textId="77777777" w:rsidR="00AC7260" w:rsidRDefault="00AC7260" w:rsidP="00AC7260">
      <w:pPr>
        <w:pStyle w:val="noindent"/>
        <w:spacing w:before="240" w:beforeAutospacing="0" w:after="0" w:afterAutospacing="0"/>
        <w:jc w:val="both"/>
        <w:rPr>
          <w:color w:val="000000"/>
        </w:rPr>
      </w:pPr>
      <w:r>
        <w:rPr>
          <w:b/>
          <w:bCs/>
          <w:color w:val="000000"/>
        </w:rPr>
        <w:t>Police Searches and Special Needs Searches Compared</w:t>
      </w:r>
    </w:p>
    <w:tbl>
      <w:tblPr>
        <w:tblW w:w="14740" w:type="dxa"/>
        <w:tblCellMar>
          <w:top w:w="15" w:type="dxa"/>
          <w:left w:w="15" w:type="dxa"/>
          <w:bottom w:w="15" w:type="dxa"/>
          <w:right w:w="15" w:type="dxa"/>
        </w:tblCellMar>
        <w:tblLook w:val="04A0" w:firstRow="1" w:lastRow="0" w:firstColumn="1" w:lastColumn="0" w:noHBand="0" w:noVBand="1"/>
      </w:tblPr>
      <w:tblGrid>
        <w:gridCol w:w="2793"/>
        <w:gridCol w:w="11947"/>
      </w:tblGrid>
      <w:tr w:rsidR="00AC7260" w14:paraId="09C251DD" w14:textId="77777777" w:rsidTr="00AC7260">
        <w:trPr>
          <w:tblHeader/>
        </w:trPr>
        <w:tc>
          <w:tcPr>
            <w:tcW w:w="0" w:type="auto"/>
            <w:tcBorders>
              <w:bottom w:val="single" w:sz="36" w:space="0" w:color="D1D2D4"/>
            </w:tcBorders>
            <w:tcMar>
              <w:top w:w="45" w:type="dxa"/>
              <w:left w:w="75" w:type="dxa"/>
              <w:bottom w:w="45" w:type="dxa"/>
              <w:right w:w="75" w:type="dxa"/>
            </w:tcMar>
            <w:hideMark/>
          </w:tcPr>
          <w:p w14:paraId="0AD94872" w14:textId="77777777" w:rsidR="00AC7260" w:rsidRDefault="00AC7260">
            <w:pPr>
              <w:spacing w:before="240" w:after="240"/>
              <w:rPr>
                <w:b/>
                <w:bCs/>
                <w:color w:val="000000"/>
              </w:rPr>
            </w:pPr>
            <w:r>
              <w:rPr>
                <w:b/>
                <w:bCs/>
                <w:color w:val="000000"/>
              </w:rPr>
              <w:t>Police Searches</w:t>
            </w:r>
          </w:p>
        </w:tc>
        <w:tc>
          <w:tcPr>
            <w:tcW w:w="0" w:type="auto"/>
            <w:tcBorders>
              <w:bottom w:val="single" w:sz="36" w:space="0" w:color="D1D2D4"/>
            </w:tcBorders>
            <w:tcMar>
              <w:top w:w="45" w:type="dxa"/>
              <w:left w:w="75" w:type="dxa"/>
              <w:bottom w:w="45" w:type="dxa"/>
              <w:right w:w="75" w:type="dxa"/>
            </w:tcMar>
            <w:hideMark/>
          </w:tcPr>
          <w:p w14:paraId="4CBD0053" w14:textId="77777777" w:rsidR="00AC7260" w:rsidRDefault="00AC7260">
            <w:pPr>
              <w:spacing w:before="240" w:after="240"/>
              <w:rPr>
                <w:b/>
                <w:bCs/>
                <w:color w:val="000000"/>
              </w:rPr>
            </w:pPr>
            <w:r>
              <w:rPr>
                <w:b/>
                <w:bCs/>
                <w:color w:val="000000"/>
              </w:rPr>
              <w:t>Special Needs Searches</w:t>
            </w:r>
          </w:p>
        </w:tc>
      </w:tr>
      <w:tr w:rsidR="00AC7260" w14:paraId="0F6E0301" w14:textId="77777777" w:rsidTr="00AC7260">
        <w:tc>
          <w:tcPr>
            <w:tcW w:w="0" w:type="auto"/>
            <w:tcMar>
              <w:top w:w="45" w:type="dxa"/>
              <w:left w:w="75" w:type="dxa"/>
              <w:bottom w:w="45" w:type="dxa"/>
              <w:right w:w="75" w:type="dxa"/>
            </w:tcMar>
            <w:hideMark/>
          </w:tcPr>
          <w:p w14:paraId="7ECB395D" w14:textId="77777777" w:rsidR="00AC7260" w:rsidRDefault="00AC7260">
            <w:pPr>
              <w:spacing w:before="240" w:after="240"/>
              <w:rPr>
                <w:color w:val="000000"/>
              </w:rPr>
            </w:pPr>
            <w:r>
              <w:rPr>
                <w:color w:val="000000"/>
              </w:rPr>
              <w:t>Done by the police</w:t>
            </w:r>
          </w:p>
        </w:tc>
        <w:tc>
          <w:tcPr>
            <w:tcW w:w="0" w:type="auto"/>
            <w:tcMar>
              <w:top w:w="45" w:type="dxa"/>
              <w:left w:w="75" w:type="dxa"/>
              <w:bottom w:w="45" w:type="dxa"/>
              <w:right w:w="75" w:type="dxa"/>
            </w:tcMar>
            <w:hideMark/>
          </w:tcPr>
          <w:p w14:paraId="556499D2" w14:textId="77777777" w:rsidR="00AC7260" w:rsidRDefault="00AC7260">
            <w:pPr>
              <w:spacing w:before="240" w:after="240"/>
              <w:rPr>
                <w:color w:val="000000"/>
              </w:rPr>
            </w:pPr>
            <w:r>
              <w:rPr>
                <w:color w:val="000000"/>
              </w:rPr>
              <w:t>Not done by the police but by other public officers such as school authorities, probation or parole officers, or work supervisors</w:t>
            </w:r>
          </w:p>
        </w:tc>
      </w:tr>
      <w:tr w:rsidR="00AC7260" w14:paraId="56FC12AC" w14:textId="77777777" w:rsidTr="00AC7260">
        <w:tc>
          <w:tcPr>
            <w:tcW w:w="0" w:type="auto"/>
            <w:tcMar>
              <w:top w:w="45" w:type="dxa"/>
              <w:left w:w="75" w:type="dxa"/>
              <w:bottom w:w="45" w:type="dxa"/>
              <w:right w:w="75" w:type="dxa"/>
            </w:tcMar>
            <w:hideMark/>
          </w:tcPr>
          <w:p w14:paraId="0A75FE8E" w14:textId="77777777" w:rsidR="00AC7260" w:rsidRDefault="00AC7260">
            <w:pPr>
              <w:spacing w:before="240" w:after="240"/>
              <w:rPr>
                <w:color w:val="000000"/>
              </w:rPr>
            </w:pPr>
            <w:r>
              <w:rPr>
                <w:color w:val="000000"/>
              </w:rPr>
              <w:t>Need for a warrant</w:t>
            </w:r>
          </w:p>
        </w:tc>
        <w:tc>
          <w:tcPr>
            <w:tcW w:w="0" w:type="auto"/>
            <w:tcMar>
              <w:top w:w="45" w:type="dxa"/>
              <w:left w:w="75" w:type="dxa"/>
              <w:bottom w:w="45" w:type="dxa"/>
              <w:right w:w="75" w:type="dxa"/>
            </w:tcMar>
            <w:hideMark/>
          </w:tcPr>
          <w:p w14:paraId="6BB3421C" w14:textId="77777777" w:rsidR="00AC7260" w:rsidRDefault="00AC7260">
            <w:pPr>
              <w:spacing w:before="240" w:after="240"/>
              <w:rPr>
                <w:color w:val="000000"/>
              </w:rPr>
            </w:pPr>
            <w:r>
              <w:rPr>
                <w:color w:val="000000"/>
              </w:rPr>
              <w:t>No need for a warrant</w:t>
            </w:r>
          </w:p>
        </w:tc>
      </w:tr>
      <w:tr w:rsidR="00AC7260" w14:paraId="33A5A3ED" w14:textId="77777777" w:rsidTr="00AC7260">
        <w:tc>
          <w:tcPr>
            <w:tcW w:w="0" w:type="auto"/>
            <w:tcMar>
              <w:top w:w="45" w:type="dxa"/>
              <w:left w:w="75" w:type="dxa"/>
              <w:bottom w:w="45" w:type="dxa"/>
              <w:right w:w="75" w:type="dxa"/>
            </w:tcMar>
            <w:hideMark/>
          </w:tcPr>
          <w:p w14:paraId="1F653CE8" w14:textId="77777777" w:rsidR="00AC7260" w:rsidRDefault="00AC7260">
            <w:pPr>
              <w:spacing w:before="240" w:after="240"/>
              <w:rPr>
                <w:color w:val="000000"/>
              </w:rPr>
            </w:pPr>
            <w:r>
              <w:rPr>
                <w:color w:val="000000"/>
              </w:rPr>
              <w:t>Need for probable cause</w:t>
            </w:r>
          </w:p>
        </w:tc>
        <w:tc>
          <w:tcPr>
            <w:tcW w:w="0" w:type="auto"/>
            <w:tcMar>
              <w:top w:w="45" w:type="dxa"/>
              <w:left w:w="75" w:type="dxa"/>
              <w:bottom w:w="45" w:type="dxa"/>
              <w:right w:w="75" w:type="dxa"/>
            </w:tcMar>
            <w:hideMark/>
          </w:tcPr>
          <w:p w14:paraId="09DE63C1" w14:textId="77777777" w:rsidR="00AC7260" w:rsidRDefault="00AC7260">
            <w:pPr>
              <w:spacing w:before="240" w:after="240"/>
              <w:rPr>
                <w:color w:val="000000"/>
              </w:rPr>
            </w:pPr>
            <w:r>
              <w:rPr>
                <w:color w:val="000000"/>
              </w:rPr>
              <w:t>No need for probable cause; reasonable suspicion is usually enough</w:t>
            </w:r>
          </w:p>
        </w:tc>
      </w:tr>
      <w:tr w:rsidR="00AC7260" w14:paraId="3393E8B8" w14:textId="77777777" w:rsidTr="00AC7260">
        <w:tc>
          <w:tcPr>
            <w:tcW w:w="0" w:type="auto"/>
            <w:tcMar>
              <w:top w:w="45" w:type="dxa"/>
              <w:left w:w="75" w:type="dxa"/>
              <w:bottom w:w="45" w:type="dxa"/>
              <w:right w:w="75" w:type="dxa"/>
            </w:tcMar>
            <w:hideMark/>
          </w:tcPr>
          <w:p w14:paraId="748E9981" w14:textId="77777777" w:rsidR="00AC7260" w:rsidRDefault="00AC7260">
            <w:pPr>
              <w:spacing w:before="240" w:after="240"/>
              <w:rPr>
                <w:color w:val="000000"/>
              </w:rPr>
            </w:pPr>
            <w:r>
              <w:rPr>
                <w:color w:val="000000"/>
              </w:rPr>
              <w:t>Purpose is law enforcement</w:t>
            </w:r>
          </w:p>
        </w:tc>
        <w:tc>
          <w:tcPr>
            <w:tcW w:w="0" w:type="auto"/>
            <w:tcMar>
              <w:top w:w="45" w:type="dxa"/>
              <w:left w:w="75" w:type="dxa"/>
              <w:bottom w:w="45" w:type="dxa"/>
              <w:right w:w="75" w:type="dxa"/>
            </w:tcMar>
            <w:hideMark/>
          </w:tcPr>
          <w:p w14:paraId="1DA3E4F9" w14:textId="77777777" w:rsidR="00AC7260" w:rsidRDefault="00AC7260">
            <w:pPr>
              <w:spacing w:before="240" w:after="240"/>
              <w:rPr>
                <w:color w:val="000000"/>
              </w:rPr>
            </w:pPr>
            <w:r>
              <w:rPr>
                <w:color w:val="000000"/>
              </w:rPr>
              <w:t>Purpose is not law enforcement but such other goals as to provide a better learning environment, rehabilitation, or supervision</w:t>
            </w:r>
          </w:p>
        </w:tc>
      </w:tr>
    </w:tbl>
    <w:p w14:paraId="4C53A087" w14:textId="77777777" w:rsidR="00AC7260" w:rsidRDefault="00AC7260" w:rsidP="00AC7260">
      <w:pPr>
        <w:pStyle w:val="Heading2"/>
        <w:shd w:val="clear" w:color="auto" w:fill="EDEEEE"/>
        <w:spacing w:before="240" w:beforeAutospacing="0" w:after="120" w:afterAutospacing="0"/>
        <w:rPr>
          <w:color w:val="000000"/>
          <w:sz w:val="31"/>
          <w:szCs w:val="31"/>
        </w:rPr>
      </w:pPr>
      <w:hyperlink r:id="rId128" w:anchor="toc-ch7-29" w:history="1">
        <w:r>
          <w:rPr>
            <w:rStyle w:val="Hyperlink"/>
            <w:color w:val="000000"/>
            <w:sz w:val="31"/>
            <w:szCs w:val="31"/>
          </w:rPr>
          <w:t>ADMINISTRATIVE SEARCHES AND INSPECTIONS</w:t>
        </w:r>
      </w:hyperlink>
    </w:p>
    <w:p w14:paraId="3F423209" w14:textId="77777777" w:rsidR="00AC7260" w:rsidRDefault="00AC7260" w:rsidP="00AC7260">
      <w:pPr>
        <w:pStyle w:val="noindent"/>
        <w:spacing w:before="0" w:beforeAutospacing="0" w:after="0" w:afterAutospacing="0"/>
        <w:jc w:val="both"/>
        <w:rPr>
          <w:color w:val="000000"/>
        </w:rPr>
      </w:pPr>
      <w:hyperlink r:id="rId129" w:anchor="kt7-13" w:history="1">
        <w:r>
          <w:rPr>
            <w:rStyle w:val="Hyperlink"/>
            <w:b/>
            <w:bCs/>
            <w:color w:val="000000"/>
          </w:rPr>
          <w:t>Administrative searches</w:t>
        </w:r>
      </w:hyperlink>
      <w:r>
        <w:rPr>
          <w:rStyle w:val="apple-converted-space"/>
          <w:color w:val="000000"/>
        </w:rPr>
        <w:t> </w:t>
      </w:r>
      <w:r>
        <w:rPr>
          <w:color w:val="000000"/>
        </w:rPr>
        <w:t>are searches conducted by government investigators to determine whether there are violations of government rules and regulations. These searches are usually authorized by local ordinances or regulations of administrative agencies and are generally conducted by agents or investigators of these agencies rather than by the police. In some jurisdictions, the warrant issued is known as an</w:t>
      </w:r>
      <w:r>
        <w:rPr>
          <w:rStyle w:val="apple-converted-space"/>
          <w:color w:val="000000"/>
        </w:rPr>
        <w:t> </w:t>
      </w:r>
      <w:r>
        <w:rPr>
          <w:rStyle w:val="Emphasis"/>
          <w:color w:val="000000"/>
        </w:rPr>
        <w:t>administrative</w:t>
      </w:r>
      <w:r>
        <w:rPr>
          <w:rStyle w:val="apple-converted-space"/>
          <w:color w:val="000000"/>
        </w:rPr>
        <w:t> </w:t>
      </w:r>
      <w:r>
        <w:rPr>
          <w:color w:val="000000"/>
        </w:rPr>
        <w:t>instead of a</w:t>
      </w:r>
      <w:r>
        <w:rPr>
          <w:rStyle w:val="apple-converted-space"/>
          <w:color w:val="000000"/>
        </w:rPr>
        <w:t> </w:t>
      </w:r>
      <w:proofErr w:type="spellStart"/>
      <w:r>
        <w:rPr>
          <w:rStyle w:val="Emphasis"/>
          <w:color w:val="000000"/>
        </w:rPr>
        <w:t>judicial</w:t>
      </w:r>
      <w:r>
        <w:rPr>
          <w:color w:val="000000"/>
        </w:rPr>
        <w:t>warrant</w:t>
      </w:r>
      <w:proofErr w:type="spellEnd"/>
      <w:r>
        <w:rPr>
          <w:color w:val="000000"/>
        </w:rPr>
        <w:t>. In a case involving a prosecution for arson, the Court provided the following distinctions between the need for administrative warrants and a criminal search warrant and what these warrants require (</w:t>
      </w:r>
      <w:r>
        <w:rPr>
          <w:rStyle w:val="Emphasis"/>
          <w:color w:val="000000"/>
        </w:rPr>
        <w:t>Michigan v. Clifford</w:t>
      </w:r>
      <w:r>
        <w:rPr>
          <w:color w:val="000000"/>
        </w:rPr>
        <w:t>, 464 U.S. 287 [1984]):</w:t>
      </w:r>
    </w:p>
    <w:p w14:paraId="698658B0" w14:textId="77777777" w:rsidR="00AC7260" w:rsidRDefault="00AC7260" w:rsidP="00AC7260">
      <w:pPr>
        <w:pStyle w:val="noindent"/>
        <w:spacing w:before="0" w:beforeAutospacing="0" w:after="0" w:afterAutospacing="0"/>
        <w:jc w:val="both"/>
        <w:rPr>
          <w:color w:val="000000"/>
          <w:sz w:val="22"/>
          <w:szCs w:val="22"/>
        </w:rPr>
      </w:pPr>
      <w:r>
        <w:rPr>
          <w:color w:val="000000"/>
          <w:sz w:val="22"/>
          <w:szCs w:val="22"/>
        </w:rPr>
        <w:t>If the primary object is to determine the cause and origin of a recent fire, an administrative warrant will suffice. To obtain such a warrant, fire officials need show only that a fire of undetermined origin has occurred on the premises, that the scope of the proposed search is reasonable and will not intrude unnecessarily on the fire victim's privacy, and that the search will be executed at a reasonable and convenient time.</w:t>
      </w:r>
    </w:p>
    <w:p w14:paraId="62053479" w14:textId="77777777" w:rsidR="00AC7260" w:rsidRDefault="00AC7260" w:rsidP="00AC7260">
      <w:pPr>
        <w:pStyle w:val="indent"/>
        <w:spacing w:before="0" w:beforeAutospacing="0" w:after="0" w:afterAutospacing="0"/>
        <w:ind w:firstLine="360"/>
        <w:jc w:val="both"/>
        <w:rPr>
          <w:color w:val="000000"/>
          <w:sz w:val="22"/>
          <w:szCs w:val="22"/>
        </w:rPr>
      </w:pPr>
      <w:r>
        <w:rPr>
          <w:color w:val="000000"/>
          <w:sz w:val="22"/>
          <w:szCs w:val="22"/>
        </w:rPr>
        <w:t xml:space="preserve">If the primary object of the search is to gather evidence of criminal activity, a criminal search warrant may be obtained only on a showing of probable cause to believe that relevant evidence will be found in the place to be searched. If evidence of criminal activity is discovered </w:t>
      </w:r>
      <w:proofErr w:type="gramStart"/>
      <w:r>
        <w:rPr>
          <w:color w:val="000000"/>
          <w:sz w:val="22"/>
          <w:szCs w:val="22"/>
        </w:rPr>
        <w:t>during the course of</w:t>
      </w:r>
      <w:proofErr w:type="gramEnd"/>
      <w:r>
        <w:rPr>
          <w:color w:val="000000"/>
          <w:sz w:val="22"/>
          <w:szCs w:val="22"/>
        </w:rPr>
        <w:t xml:space="preserve"> a valid administrative search, it may be seized under the “plain view” doctrine. This evidence may then be used to establish probable cause to obtain a criminal search warrant.</w:t>
      </w:r>
    </w:p>
    <w:p w14:paraId="7CBAEC4E" w14:textId="77777777" w:rsidR="00AC7260" w:rsidRDefault="00AC7260" w:rsidP="00AC7260">
      <w:pPr>
        <w:pStyle w:val="key"/>
        <w:shd w:val="clear" w:color="auto" w:fill="E7E7E8"/>
        <w:spacing w:before="48" w:beforeAutospacing="0" w:after="0" w:afterAutospacing="0"/>
        <w:jc w:val="both"/>
        <w:rPr>
          <w:color w:val="000000"/>
          <w:sz w:val="22"/>
          <w:szCs w:val="22"/>
        </w:rPr>
      </w:pPr>
      <w:r>
        <w:rPr>
          <w:b/>
          <w:bCs/>
          <w:color w:val="000000"/>
          <w:sz w:val="22"/>
          <w:szCs w:val="22"/>
        </w:rPr>
        <w:lastRenderedPageBreak/>
        <w:t>administrative searches</w:t>
      </w:r>
      <w:r>
        <w:rPr>
          <w:color w:val="000000"/>
          <w:sz w:val="22"/>
          <w:szCs w:val="22"/>
        </w:rPr>
        <w:br/>
      </w:r>
      <w:proofErr w:type="spellStart"/>
      <w:r>
        <w:rPr>
          <w:color w:val="000000"/>
          <w:sz w:val="22"/>
          <w:szCs w:val="22"/>
        </w:rPr>
        <w:t>searches</w:t>
      </w:r>
      <w:proofErr w:type="spellEnd"/>
      <w:r>
        <w:rPr>
          <w:color w:val="000000"/>
          <w:sz w:val="22"/>
          <w:szCs w:val="22"/>
        </w:rPr>
        <w:t xml:space="preserve"> conducted by government investigators to determine whether there are violations of government rules and regulations.</w:t>
      </w:r>
    </w:p>
    <w:p w14:paraId="2A08712F" w14:textId="77777777" w:rsidR="00AC7260" w:rsidRDefault="00AC7260" w:rsidP="00AC7260">
      <w:pPr>
        <w:pStyle w:val="noindent"/>
        <w:spacing w:before="0" w:beforeAutospacing="0" w:after="0" w:afterAutospacing="0"/>
        <w:jc w:val="both"/>
        <w:rPr>
          <w:color w:val="000000"/>
          <w:sz w:val="19"/>
          <w:szCs w:val="19"/>
        </w:rPr>
      </w:pPr>
      <w:r>
        <w:rPr>
          <w:rStyle w:val="Emphasis"/>
          <w:color w:val="000000"/>
          <w:sz w:val="19"/>
          <w:szCs w:val="19"/>
        </w:rPr>
        <w:t>Michigan v. Clifford</w:t>
      </w:r>
      <w:r>
        <w:rPr>
          <w:rStyle w:val="apple-converted-space"/>
          <w:color w:val="000000"/>
          <w:sz w:val="19"/>
          <w:szCs w:val="19"/>
        </w:rPr>
        <w:t> </w:t>
      </w:r>
      <w:r>
        <w:rPr>
          <w:color w:val="000000"/>
          <w:sz w:val="19"/>
          <w:szCs w:val="19"/>
        </w:rPr>
        <w:t>(1984)</w:t>
      </w:r>
    </w:p>
    <w:p w14:paraId="20EAF3DD" w14:textId="77777777" w:rsidR="00AC7260" w:rsidRDefault="00AC7260" w:rsidP="00AC7260">
      <w:pPr>
        <w:pStyle w:val="noindent"/>
        <w:spacing w:before="240" w:beforeAutospacing="0" w:after="0" w:afterAutospacing="0"/>
        <w:jc w:val="both"/>
        <w:rPr>
          <w:color w:val="000000"/>
        </w:rPr>
      </w:pPr>
      <w:r>
        <w:rPr>
          <w:b/>
          <w:bCs/>
          <w:color w:val="000000"/>
        </w:rPr>
        <w:t>Administrative Searches and Law Enforcement Searches Compared</w:t>
      </w:r>
    </w:p>
    <w:tbl>
      <w:tblPr>
        <w:tblW w:w="14740" w:type="dxa"/>
        <w:tblCellMar>
          <w:top w:w="15" w:type="dxa"/>
          <w:left w:w="15" w:type="dxa"/>
          <w:bottom w:w="15" w:type="dxa"/>
          <w:right w:w="15" w:type="dxa"/>
        </w:tblCellMar>
        <w:tblLook w:val="04A0" w:firstRow="1" w:lastRow="0" w:firstColumn="1" w:lastColumn="0" w:noHBand="0" w:noVBand="1"/>
      </w:tblPr>
      <w:tblGrid>
        <w:gridCol w:w="10253"/>
        <w:gridCol w:w="4487"/>
      </w:tblGrid>
      <w:tr w:rsidR="00AC7260" w14:paraId="3960EA85" w14:textId="77777777" w:rsidTr="00AC7260">
        <w:trPr>
          <w:tblHeader/>
        </w:trPr>
        <w:tc>
          <w:tcPr>
            <w:tcW w:w="0" w:type="auto"/>
            <w:tcBorders>
              <w:bottom w:val="single" w:sz="36" w:space="0" w:color="D1D2D4"/>
            </w:tcBorders>
            <w:tcMar>
              <w:top w:w="45" w:type="dxa"/>
              <w:left w:w="75" w:type="dxa"/>
              <w:bottom w:w="45" w:type="dxa"/>
              <w:right w:w="75" w:type="dxa"/>
            </w:tcMar>
            <w:hideMark/>
          </w:tcPr>
          <w:p w14:paraId="709A2C51" w14:textId="77777777" w:rsidR="00AC7260" w:rsidRDefault="00AC7260">
            <w:pPr>
              <w:spacing w:before="240" w:after="240"/>
              <w:rPr>
                <w:b/>
                <w:bCs/>
                <w:color w:val="000000"/>
              </w:rPr>
            </w:pPr>
            <w:r>
              <w:rPr>
                <w:b/>
                <w:bCs/>
                <w:color w:val="000000"/>
              </w:rPr>
              <w:t>Administrative Searches</w:t>
            </w:r>
          </w:p>
        </w:tc>
        <w:tc>
          <w:tcPr>
            <w:tcW w:w="0" w:type="auto"/>
            <w:tcBorders>
              <w:bottom w:val="single" w:sz="36" w:space="0" w:color="D1D2D4"/>
            </w:tcBorders>
            <w:tcMar>
              <w:top w:w="45" w:type="dxa"/>
              <w:left w:w="75" w:type="dxa"/>
              <w:bottom w:w="45" w:type="dxa"/>
              <w:right w:w="75" w:type="dxa"/>
            </w:tcMar>
            <w:hideMark/>
          </w:tcPr>
          <w:p w14:paraId="65A300C1" w14:textId="77777777" w:rsidR="00AC7260" w:rsidRDefault="00AC7260">
            <w:pPr>
              <w:spacing w:before="240" w:after="240"/>
              <w:rPr>
                <w:b/>
                <w:bCs/>
                <w:color w:val="000000"/>
              </w:rPr>
            </w:pPr>
            <w:r>
              <w:rPr>
                <w:b/>
                <w:bCs/>
                <w:color w:val="000000"/>
              </w:rPr>
              <w:t>Law Enforcement Searches</w:t>
            </w:r>
          </w:p>
        </w:tc>
      </w:tr>
      <w:tr w:rsidR="00AC7260" w14:paraId="714C9C50" w14:textId="77777777" w:rsidTr="00AC7260">
        <w:tc>
          <w:tcPr>
            <w:tcW w:w="0" w:type="auto"/>
            <w:tcMar>
              <w:top w:w="45" w:type="dxa"/>
              <w:left w:w="75" w:type="dxa"/>
              <w:bottom w:w="45" w:type="dxa"/>
              <w:right w:w="75" w:type="dxa"/>
            </w:tcMar>
            <w:hideMark/>
          </w:tcPr>
          <w:p w14:paraId="5611B433" w14:textId="77777777" w:rsidR="00AC7260" w:rsidRDefault="00AC7260">
            <w:pPr>
              <w:spacing w:before="240" w:after="240"/>
              <w:rPr>
                <w:color w:val="000000"/>
              </w:rPr>
            </w:pPr>
            <w:r>
              <w:rPr>
                <w:color w:val="000000"/>
              </w:rPr>
              <w:t>Done by administrative agents or investigators, not by the police.</w:t>
            </w:r>
          </w:p>
        </w:tc>
        <w:tc>
          <w:tcPr>
            <w:tcW w:w="0" w:type="auto"/>
            <w:tcMar>
              <w:top w:w="45" w:type="dxa"/>
              <w:left w:w="75" w:type="dxa"/>
              <w:bottom w:w="45" w:type="dxa"/>
              <w:right w:w="75" w:type="dxa"/>
            </w:tcMar>
            <w:hideMark/>
          </w:tcPr>
          <w:p w14:paraId="003AF81A" w14:textId="77777777" w:rsidR="00AC7260" w:rsidRDefault="00AC7260">
            <w:pPr>
              <w:spacing w:before="240" w:after="240"/>
              <w:rPr>
                <w:color w:val="000000"/>
              </w:rPr>
            </w:pPr>
            <w:r>
              <w:rPr>
                <w:color w:val="000000"/>
              </w:rPr>
              <w:t>Done by law enforcement personnel.</w:t>
            </w:r>
          </w:p>
        </w:tc>
      </w:tr>
      <w:tr w:rsidR="00AC7260" w14:paraId="5099AF7D" w14:textId="77777777" w:rsidTr="00AC7260">
        <w:tc>
          <w:tcPr>
            <w:tcW w:w="0" w:type="auto"/>
            <w:tcMar>
              <w:top w:w="45" w:type="dxa"/>
              <w:left w:w="75" w:type="dxa"/>
              <w:bottom w:w="45" w:type="dxa"/>
              <w:right w:w="75" w:type="dxa"/>
            </w:tcMar>
            <w:hideMark/>
          </w:tcPr>
          <w:p w14:paraId="2315A2F9" w14:textId="77777777" w:rsidR="00AC7260" w:rsidRDefault="00AC7260">
            <w:pPr>
              <w:spacing w:before="240" w:after="240"/>
              <w:rPr>
                <w:color w:val="000000"/>
              </w:rPr>
            </w:pPr>
            <w:r>
              <w:rPr>
                <w:color w:val="000000"/>
              </w:rPr>
              <w:t>Purpose is enforcement of administrative regulations.</w:t>
            </w:r>
          </w:p>
        </w:tc>
        <w:tc>
          <w:tcPr>
            <w:tcW w:w="0" w:type="auto"/>
            <w:tcMar>
              <w:top w:w="45" w:type="dxa"/>
              <w:left w:w="75" w:type="dxa"/>
              <w:bottom w:w="45" w:type="dxa"/>
              <w:right w:w="75" w:type="dxa"/>
            </w:tcMar>
            <w:hideMark/>
          </w:tcPr>
          <w:p w14:paraId="101A00B4" w14:textId="77777777" w:rsidR="00AC7260" w:rsidRDefault="00AC7260">
            <w:pPr>
              <w:spacing w:before="240" w:after="240"/>
              <w:rPr>
                <w:color w:val="000000"/>
              </w:rPr>
            </w:pPr>
            <w:r>
              <w:rPr>
                <w:color w:val="000000"/>
              </w:rPr>
              <w:t>Purpose is enforcement of criminal laws.</w:t>
            </w:r>
          </w:p>
        </w:tc>
      </w:tr>
      <w:tr w:rsidR="00AC7260" w14:paraId="4EA40308" w14:textId="77777777" w:rsidTr="00AC7260">
        <w:tc>
          <w:tcPr>
            <w:tcW w:w="0" w:type="auto"/>
            <w:tcMar>
              <w:top w:w="45" w:type="dxa"/>
              <w:left w:w="75" w:type="dxa"/>
              <w:bottom w:w="45" w:type="dxa"/>
              <w:right w:w="75" w:type="dxa"/>
            </w:tcMar>
            <w:hideMark/>
          </w:tcPr>
          <w:p w14:paraId="32EE2DCC" w14:textId="77777777" w:rsidR="00AC7260" w:rsidRDefault="00AC7260">
            <w:pPr>
              <w:spacing w:before="240" w:after="240"/>
              <w:rPr>
                <w:color w:val="000000"/>
              </w:rPr>
            </w:pPr>
            <w:r>
              <w:rPr>
                <w:color w:val="000000"/>
              </w:rPr>
              <w:t>Consent or warrant is needed, except for highly regulated businesses.</w:t>
            </w:r>
          </w:p>
        </w:tc>
        <w:tc>
          <w:tcPr>
            <w:tcW w:w="0" w:type="auto"/>
            <w:tcMar>
              <w:top w:w="45" w:type="dxa"/>
              <w:left w:w="75" w:type="dxa"/>
              <w:bottom w:w="45" w:type="dxa"/>
              <w:right w:w="75" w:type="dxa"/>
            </w:tcMar>
            <w:hideMark/>
          </w:tcPr>
          <w:p w14:paraId="765FA759" w14:textId="77777777" w:rsidR="00AC7260" w:rsidRDefault="00AC7260">
            <w:pPr>
              <w:spacing w:before="240" w:after="240"/>
              <w:rPr>
                <w:color w:val="000000"/>
              </w:rPr>
            </w:pPr>
            <w:r>
              <w:rPr>
                <w:color w:val="000000"/>
              </w:rPr>
              <w:t>Consent or warrant is always needed.</w:t>
            </w:r>
          </w:p>
        </w:tc>
      </w:tr>
      <w:tr w:rsidR="00AC7260" w14:paraId="60BBF938" w14:textId="77777777" w:rsidTr="00AC7260">
        <w:tc>
          <w:tcPr>
            <w:tcW w:w="0" w:type="auto"/>
            <w:tcMar>
              <w:top w:w="45" w:type="dxa"/>
              <w:left w:w="75" w:type="dxa"/>
              <w:bottom w:w="45" w:type="dxa"/>
              <w:right w:w="75" w:type="dxa"/>
            </w:tcMar>
            <w:hideMark/>
          </w:tcPr>
          <w:p w14:paraId="051533EF" w14:textId="77777777" w:rsidR="00AC7260" w:rsidRDefault="00AC7260">
            <w:pPr>
              <w:spacing w:before="240" w:after="240"/>
              <w:rPr>
                <w:color w:val="000000"/>
              </w:rPr>
            </w:pPr>
            <w:r>
              <w:rPr>
                <w:color w:val="000000"/>
              </w:rPr>
              <w:t>Probable cause is not needed, but agents must show that the place inspected is subject to administrative rules, ordinances, or regulations.</w:t>
            </w:r>
          </w:p>
        </w:tc>
        <w:tc>
          <w:tcPr>
            <w:tcW w:w="0" w:type="auto"/>
            <w:tcMar>
              <w:top w:w="45" w:type="dxa"/>
              <w:left w:w="75" w:type="dxa"/>
              <w:bottom w:w="45" w:type="dxa"/>
              <w:right w:w="75" w:type="dxa"/>
            </w:tcMar>
            <w:hideMark/>
          </w:tcPr>
          <w:p w14:paraId="19760C20" w14:textId="77777777" w:rsidR="00AC7260" w:rsidRDefault="00AC7260">
            <w:pPr>
              <w:spacing w:before="240" w:after="240"/>
              <w:rPr>
                <w:color w:val="000000"/>
              </w:rPr>
            </w:pPr>
            <w:r>
              <w:rPr>
                <w:color w:val="000000"/>
              </w:rPr>
              <w:t>Probable cause is always needed unless consent is given.</w:t>
            </w:r>
          </w:p>
        </w:tc>
      </w:tr>
    </w:tbl>
    <w:p w14:paraId="2654D221" w14:textId="77777777" w:rsidR="00AC7260" w:rsidRDefault="00AC7260" w:rsidP="00AC7260">
      <w:pPr>
        <w:pStyle w:val="Heading2"/>
        <w:shd w:val="clear" w:color="auto" w:fill="EDEEEE"/>
        <w:spacing w:before="240" w:beforeAutospacing="0" w:after="120" w:afterAutospacing="0"/>
        <w:rPr>
          <w:color w:val="000000"/>
          <w:sz w:val="31"/>
          <w:szCs w:val="31"/>
        </w:rPr>
      </w:pPr>
      <w:hyperlink r:id="rId130" w:anchor="toc-ch7-30" w:history="1">
        <w:r>
          <w:rPr>
            <w:rStyle w:val="Hyperlink"/>
            <w:color w:val="000000"/>
            <w:sz w:val="31"/>
            <w:szCs w:val="31"/>
          </w:rPr>
          <w:t>WARRANTLESS SEARCHES MUST BE CONTEMPORANEOUS</w:t>
        </w:r>
      </w:hyperlink>
    </w:p>
    <w:p w14:paraId="1F0E0E56" w14:textId="77777777" w:rsidR="00AC7260" w:rsidRDefault="00AC7260" w:rsidP="00AC7260">
      <w:pPr>
        <w:pStyle w:val="noindent"/>
        <w:spacing w:before="0" w:beforeAutospacing="0" w:after="0" w:afterAutospacing="0"/>
        <w:jc w:val="both"/>
        <w:rPr>
          <w:color w:val="000000"/>
        </w:rPr>
      </w:pPr>
      <w:hyperlink r:id="rId131" w:anchor="kt7-14" w:history="1">
        <w:r>
          <w:rPr>
            <w:rStyle w:val="Hyperlink"/>
            <w:b/>
            <w:bCs/>
            <w:color w:val="000000"/>
          </w:rPr>
          <w:t>Contemporaneous search</w:t>
        </w:r>
      </w:hyperlink>
      <w:r>
        <w:rPr>
          <w:rStyle w:val="apple-converted-space"/>
          <w:color w:val="000000"/>
        </w:rPr>
        <w:t> </w:t>
      </w:r>
      <w:r>
        <w:rPr>
          <w:color w:val="000000"/>
        </w:rPr>
        <w:t xml:space="preserve">is a search that must occur at the same time as, or very close in time and place to, the arrest. A contemporaneous search is illegal if conducted long after the arrest. In one case, the police arrested several smugglers and seized the </w:t>
      </w:r>
      <w:proofErr w:type="gramStart"/>
      <w:r>
        <w:rPr>
          <w:color w:val="000000"/>
        </w:rPr>
        <w:t>foot-locker</w:t>
      </w:r>
      <w:proofErr w:type="gramEnd"/>
      <w:r>
        <w:rPr>
          <w:color w:val="000000"/>
        </w:rPr>
        <w:t xml:space="preserve"> in which they believed marijuana was being transported. One hour after the arrest, after the suspects were in jail, the officers opened and searched the footlocker without a warrant. The Court invalidated the search, saying that it was “remote in time and place from the arrest” (</w:t>
      </w:r>
      <w:r>
        <w:rPr>
          <w:rStyle w:val="Emphasis"/>
          <w:color w:val="000000"/>
        </w:rPr>
        <w:t>United States v. Chadwick</w:t>
      </w:r>
      <w:r>
        <w:rPr>
          <w:color w:val="000000"/>
        </w:rPr>
        <w:t>, 433 U.S. 1 [1977]).</w:t>
      </w:r>
    </w:p>
    <w:p w14:paraId="46491E14" w14:textId="166DF48B" w:rsidR="00AC7260" w:rsidRDefault="00AC7260" w:rsidP="009826EC"/>
    <w:p w14:paraId="7550F8AF" w14:textId="77777777" w:rsidR="00AC7260" w:rsidRDefault="00AC7260" w:rsidP="00AC7260">
      <w:pPr>
        <w:pStyle w:val="key"/>
        <w:shd w:val="clear" w:color="auto" w:fill="E7E7E8"/>
        <w:spacing w:before="48" w:beforeAutospacing="0" w:after="0" w:afterAutospacing="0"/>
        <w:jc w:val="both"/>
        <w:rPr>
          <w:color w:val="000000"/>
        </w:rPr>
      </w:pPr>
      <w:r>
        <w:rPr>
          <w:b/>
          <w:bCs/>
          <w:color w:val="000000"/>
        </w:rPr>
        <w:t>contemporaneous search</w:t>
      </w:r>
      <w:r>
        <w:rPr>
          <w:color w:val="000000"/>
        </w:rPr>
        <w:br/>
        <w:t>the search must occur at the time as, or very close in time and place to, the arrest.</w:t>
      </w:r>
    </w:p>
    <w:p w14:paraId="3E613BAC"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United States v. Chadwick</w:t>
      </w:r>
      <w:r>
        <w:rPr>
          <w:rStyle w:val="apple-converted-space"/>
          <w:color w:val="000000"/>
          <w:sz w:val="20"/>
          <w:szCs w:val="20"/>
        </w:rPr>
        <w:t> </w:t>
      </w:r>
      <w:r>
        <w:rPr>
          <w:color w:val="000000"/>
          <w:sz w:val="20"/>
          <w:szCs w:val="20"/>
        </w:rPr>
        <w:t>(1977)</w:t>
      </w:r>
    </w:p>
    <w:p w14:paraId="333B171E" w14:textId="77777777" w:rsidR="00AC7260" w:rsidRDefault="00AC7260" w:rsidP="00AC7260">
      <w:pPr>
        <w:pStyle w:val="indent"/>
        <w:spacing w:before="0" w:beforeAutospacing="0" w:after="0" w:afterAutospacing="0"/>
        <w:ind w:firstLine="360"/>
        <w:jc w:val="both"/>
        <w:rPr>
          <w:color w:val="000000"/>
        </w:rPr>
      </w:pPr>
      <w:r>
        <w:rPr>
          <w:color w:val="000000"/>
        </w:rPr>
        <w:t xml:space="preserve">However, the custodial search may be deemed “incident to arrest” even when carried out later than the time of </w:t>
      </w:r>
      <w:proofErr w:type="gramStart"/>
      <w:r>
        <w:rPr>
          <w:color w:val="000000"/>
        </w:rPr>
        <w:t>arrest, if</w:t>
      </w:r>
      <w:proofErr w:type="gramEnd"/>
      <w:r>
        <w:rPr>
          <w:color w:val="000000"/>
        </w:rPr>
        <w:t xml:space="preserve"> there was a valid reason for the delay. For example, in</w:t>
      </w:r>
      <w:r>
        <w:rPr>
          <w:rStyle w:val="apple-converted-space"/>
          <w:color w:val="000000"/>
        </w:rPr>
        <w:t> </w:t>
      </w:r>
      <w:r>
        <w:rPr>
          <w:rStyle w:val="Emphasis"/>
          <w:color w:val="000000"/>
        </w:rPr>
        <w:t>United States v. Edwards</w:t>
      </w:r>
      <w:r>
        <w:rPr>
          <w:color w:val="000000"/>
        </w:rPr>
        <w:t>, 415 U.S. 800 (1974), a suspect was arrested and jailed late at night, but a search for evidence in his clothing was not conducted until the following morning. The Court said that the delayed search was justified because substitute clothing was not available for the suspect's use at the time of the booking.</w:t>
      </w:r>
    </w:p>
    <w:p w14:paraId="7CF2A75F" w14:textId="77777777" w:rsidR="00AC7260" w:rsidRDefault="00AC7260" w:rsidP="00AC7260">
      <w:pPr>
        <w:pStyle w:val="Heading2"/>
        <w:shd w:val="clear" w:color="auto" w:fill="EDEEEE"/>
        <w:spacing w:before="240" w:beforeAutospacing="0" w:after="120" w:afterAutospacing="0"/>
        <w:rPr>
          <w:color w:val="000000"/>
          <w:sz w:val="31"/>
          <w:szCs w:val="31"/>
        </w:rPr>
      </w:pPr>
      <w:hyperlink r:id="rId132" w:anchor="toc-ch7-31" w:history="1">
        <w:r>
          <w:rPr>
            <w:rStyle w:val="Hyperlink"/>
            <w:color w:val="000000"/>
            <w:sz w:val="31"/>
            <w:szCs w:val="31"/>
          </w:rPr>
          <w:t>THE ANNOUNCEMENT REQUIREMENT</w:t>
        </w:r>
      </w:hyperlink>
    </w:p>
    <w:p w14:paraId="040BE0AD" w14:textId="77777777" w:rsidR="00AC7260" w:rsidRDefault="00AC7260" w:rsidP="00AC7260">
      <w:pPr>
        <w:pStyle w:val="noindent"/>
        <w:spacing w:before="0" w:beforeAutospacing="0" w:after="0" w:afterAutospacing="0"/>
        <w:jc w:val="both"/>
        <w:rPr>
          <w:color w:val="000000"/>
        </w:rPr>
      </w:pPr>
      <w:r>
        <w:rPr>
          <w:color w:val="000000"/>
        </w:rPr>
        <w:lastRenderedPageBreak/>
        <w:t xml:space="preserve">The rules for announcements in search and seizure cases are </w:t>
      </w:r>
      <w:proofErr w:type="gramStart"/>
      <w:r>
        <w:rPr>
          <w:color w:val="000000"/>
        </w:rPr>
        <w:t>exactly the same</w:t>
      </w:r>
      <w:proofErr w:type="gramEnd"/>
      <w:r>
        <w:rPr>
          <w:color w:val="000000"/>
        </w:rPr>
        <w:t xml:space="preserve"> as those for arrests. In brief, knock-and-announce is required by the Constitution. There are exceptions to this rule, however.</w:t>
      </w:r>
    </w:p>
    <w:p w14:paraId="56B6F562" w14:textId="77777777" w:rsidR="00AC7260" w:rsidRDefault="00AC7260" w:rsidP="00AC7260">
      <w:pPr>
        <w:pStyle w:val="indent"/>
        <w:spacing w:before="0" w:beforeAutospacing="0" w:after="0" w:afterAutospacing="0"/>
        <w:ind w:firstLine="360"/>
        <w:jc w:val="both"/>
        <w:rPr>
          <w:color w:val="000000"/>
        </w:rPr>
      </w:pPr>
      <w:r>
        <w:rPr>
          <w:color w:val="000000"/>
        </w:rPr>
        <w:t>Constitutional law and many state statutes require that an officer making an arrest or executing a search warrant announce his or her purpose and authority before breaking into a dwelling. The goal is to allow voluntary compliance and avoid violence. Breaking into the premises without first complying with the announcement requirement may or may not invalidate the entry and any resulting search, depending on the law or court decisions in that state. The announcement requirement is discussed in detail in</w:t>
      </w:r>
      <w:r>
        <w:rPr>
          <w:rStyle w:val="apple-converted-space"/>
          <w:color w:val="000000"/>
        </w:rPr>
        <w:t> </w:t>
      </w:r>
      <w:hyperlink r:id="rId133" w:anchor="ch6" w:history="1">
        <w:r>
          <w:rPr>
            <w:rStyle w:val="Hyperlink"/>
          </w:rPr>
          <w:t>Chapter 6</w:t>
        </w:r>
      </w:hyperlink>
      <w:r>
        <w:rPr>
          <w:color w:val="000000"/>
        </w:rPr>
        <w:t>.</w:t>
      </w:r>
    </w:p>
    <w:p w14:paraId="43F094B5" w14:textId="77777777" w:rsidR="00AC7260" w:rsidRDefault="00AC7260" w:rsidP="00AC7260">
      <w:pPr>
        <w:pStyle w:val="Heading2"/>
        <w:shd w:val="clear" w:color="auto" w:fill="EDEEEE"/>
        <w:spacing w:before="240" w:beforeAutospacing="0" w:after="120" w:afterAutospacing="0"/>
        <w:rPr>
          <w:color w:val="000000"/>
          <w:sz w:val="31"/>
          <w:szCs w:val="31"/>
        </w:rPr>
      </w:pPr>
      <w:hyperlink r:id="rId134" w:anchor="toc-ch7-32" w:history="1">
        <w:r>
          <w:rPr>
            <w:rStyle w:val="Hyperlink"/>
            <w:color w:val="000000"/>
            <w:sz w:val="31"/>
            <w:szCs w:val="31"/>
          </w:rPr>
          <w:t>OTHER SEARCH AND SEIZURE ISSUES</w:t>
        </w:r>
      </w:hyperlink>
    </w:p>
    <w:p w14:paraId="7F85B100" w14:textId="77777777" w:rsidR="00AC7260" w:rsidRDefault="00AC7260" w:rsidP="00AC7260">
      <w:pPr>
        <w:pStyle w:val="noindent"/>
        <w:spacing w:before="0" w:beforeAutospacing="0" w:after="0" w:afterAutospacing="0"/>
        <w:jc w:val="both"/>
        <w:rPr>
          <w:color w:val="000000"/>
        </w:rPr>
      </w:pPr>
      <w:r>
        <w:rPr>
          <w:color w:val="000000"/>
        </w:rPr>
        <w:t>This section examines ten specific search and seizure issues:</w:t>
      </w:r>
    </w:p>
    <w:p w14:paraId="46E4579E"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Use of police dogs in searches</w:t>
      </w:r>
    </w:p>
    <w:p w14:paraId="410223BC"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Searches and seizures of computers</w:t>
      </w:r>
    </w:p>
    <w:p w14:paraId="0A21CD40"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Searches and seizures of text messages</w:t>
      </w:r>
    </w:p>
    <w:p w14:paraId="4DCBBD95"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Searches and seizures of e-mails</w:t>
      </w:r>
    </w:p>
    <w:p w14:paraId="1C34D2D9"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Drug testing public employees, including police officers</w:t>
      </w:r>
    </w:p>
    <w:p w14:paraId="3189A0E1"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Searches and seizures of public employees other than drug testing</w:t>
      </w:r>
    </w:p>
    <w:p w14:paraId="07EDAD9C"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Squeezing luggage on a bus</w:t>
      </w:r>
    </w:p>
    <w:p w14:paraId="4429F34B"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Searches and seizures by private persons</w:t>
      </w:r>
    </w:p>
    <w:p w14:paraId="186751E0"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Searches by off-duty officers</w:t>
      </w:r>
    </w:p>
    <w:p w14:paraId="4EBCB8BE" w14:textId="77777777" w:rsidR="00AC7260" w:rsidRDefault="00AC7260" w:rsidP="00AC7260">
      <w:pPr>
        <w:pStyle w:val="paralist3"/>
        <w:spacing w:before="0" w:beforeAutospacing="0" w:after="0" w:afterAutospacing="0"/>
        <w:jc w:val="both"/>
        <w:rPr>
          <w:color w:val="000000"/>
        </w:rPr>
      </w:pPr>
      <w:r>
        <w:rPr>
          <w:rStyle w:val="label"/>
          <w:color w:val="000000"/>
        </w:rPr>
        <w:t>♦</w:t>
      </w:r>
      <w:r>
        <w:rPr>
          <w:color w:val="000000"/>
        </w:rPr>
        <w:t>Surgery to remove a bullet from a suspect</w:t>
      </w:r>
    </w:p>
    <w:p w14:paraId="39083DF8" w14:textId="77777777" w:rsidR="00AC7260" w:rsidRDefault="00AC7260" w:rsidP="00AC7260">
      <w:pPr>
        <w:pStyle w:val="Heading3"/>
        <w:spacing w:before="240" w:after="120"/>
        <w:rPr>
          <w:color w:val="000000"/>
          <w:sz w:val="29"/>
          <w:szCs w:val="29"/>
        </w:rPr>
      </w:pPr>
      <w:hyperlink r:id="rId135" w:anchor="toc-ch7-33" w:history="1">
        <w:r>
          <w:rPr>
            <w:rStyle w:val="Hyperlink"/>
            <w:color w:val="000000"/>
            <w:sz w:val="29"/>
            <w:szCs w:val="29"/>
          </w:rPr>
          <w:t>The Use of Police Dogs in Searches</w:t>
        </w:r>
      </w:hyperlink>
    </w:p>
    <w:p w14:paraId="0C3E30FB" w14:textId="77777777" w:rsidR="00AC7260" w:rsidRDefault="00AC7260" w:rsidP="00AC7260">
      <w:pPr>
        <w:pStyle w:val="noindent"/>
        <w:spacing w:before="0" w:beforeAutospacing="0" w:after="0" w:afterAutospacing="0"/>
        <w:jc w:val="both"/>
        <w:rPr>
          <w:color w:val="000000"/>
        </w:rPr>
      </w:pPr>
      <w:r>
        <w:rPr>
          <w:color w:val="000000"/>
        </w:rPr>
        <w:t>The Court has determined that dog sniffs are not searches and are therefore not protected by the Fourth Amendment (</w:t>
      </w:r>
      <w:r>
        <w:rPr>
          <w:rStyle w:val="Emphasis"/>
          <w:color w:val="000000"/>
        </w:rPr>
        <w:t>United States v. Place</w:t>
      </w:r>
      <w:r>
        <w:rPr>
          <w:color w:val="000000"/>
        </w:rPr>
        <w:t>, 462 U.S. 696 [1983]). In this case, an airport traveler, who was suspected of carrying drugs, had his luggage subjected to dog sniffs. Based on the dog sniffs by a drug-detection dog, government agents obtained a warrant to search the luggage. The search found cocaine. The suspect was later charged with and convicted of a drug offense. He claimed that the sniff test by the police dog constituted an unconstitutional search under the Fourth Amendment. On appeal, the Court disagreed, saying that since the sniff did not require opening the luggage or exposing the luggage contents to public view, it constituted something less than a Fourth Amendment search. But the evidence obtained in this case was thrown out anyway based on some other grounds.</w:t>
      </w:r>
    </w:p>
    <w:p w14:paraId="48E9D783"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United States v. Place</w:t>
      </w:r>
      <w:r>
        <w:rPr>
          <w:rStyle w:val="apple-converted-space"/>
          <w:color w:val="000000"/>
          <w:sz w:val="20"/>
          <w:szCs w:val="20"/>
        </w:rPr>
        <w:t> </w:t>
      </w:r>
      <w:r>
        <w:rPr>
          <w:color w:val="000000"/>
          <w:sz w:val="20"/>
          <w:szCs w:val="20"/>
        </w:rPr>
        <w:t>(1983)</w:t>
      </w:r>
    </w:p>
    <w:p w14:paraId="4DFD9D9F" w14:textId="5AEF2F36" w:rsidR="00AC7260" w:rsidRDefault="00AC7260" w:rsidP="00AC7260">
      <w:pPr>
        <w:pStyle w:val="indent"/>
        <w:spacing w:before="0" w:beforeAutospacing="0" w:after="0" w:afterAutospacing="0"/>
        <w:ind w:firstLine="360"/>
        <w:jc w:val="both"/>
        <w:rPr>
          <w:color w:val="000000"/>
        </w:rPr>
      </w:pPr>
      <w:r>
        <w:rPr>
          <w:color w:val="000000"/>
        </w:rPr>
        <w:t>In a later case,</w:t>
      </w:r>
      <w:r>
        <w:rPr>
          <w:rStyle w:val="apple-converted-space"/>
          <w:color w:val="000000"/>
        </w:rPr>
        <w:t> </w:t>
      </w:r>
      <w:r>
        <w:rPr>
          <w:rStyle w:val="Emphasis"/>
          <w:color w:val="000000"/>
        </w:rPr>
        <w:t xml:space="preserve">Illinois v. </w:t>
      </w:r>
      <w:proofErr w:type="spellStart"/>
      <w:r>
        <w:rPr>
          <w:rStyle w:val="Emphasis"/>
          <w:color w:val="000000"/>
        </w:rPr>
        <w:t>Caballes</w:t>
      </w:r>
      <w:proofErr w:type="spellEnd"/>
      <w:r>
        <w:rPr>
          <w:color w:val="000000"/>
        </w:rPr>
        <w:t>, 543 U.S. 405 (2005), the Court held that “a dog sniff conducted during a concededly lawful traffic stop that reveals no information other than the location of a substance that no individual has any right to possess does not violate the Fourth Amendment.” In this case, the driver was stopped for speeding. While one officer was issuing the warning ticket, another officer walked around the car with his drug-detection dog. The dog alerted the officers to the car's trunk. Searching the trunk, the officers found marijuana and arrested the driver. On appeal for drug possession, the driver alleged that the search was illegal because there was no probable cause to conduct the search. The Court rejected the claim and held that there was probable cause to search based on the dog's sniff. Because the sniff “revealed no information other than the location of a substance that no individual has any right to possess,” the search was legal.</w:t>
      </w:r>
    </w:p>
    <w:p w14:paraId="4857CB52" w14:textId="77777777" w:rsidR="00AC7260" w:rsidRDefault="00AC7260" w:rsidP="00AC7260">
      <w:pPr>
        <w:pStyle w:val="indent"/>
        <w:spacing w:before="0" w:beforeAutospacing="0" w:after="0" w:afterAutospacing="0"/>
        <w:ind w:firstLine="360"/>
        <w:jc w:val="both"/>
        <w:rPr>
          <w:color w:val="000000"/>
        </w:rPr>
      </w:pPr>
      <w:r>
        <w:rPr>
          <w:color w:val="000000"/>
        </w:rPr>
        <w:lastRenderedPageBreak/>
        <w:t>In</w:t>
      </w:r>
      <w:r>
        <w:rPr>
          <w:rStyle w:val="apple-converted-space"/>
          <w:color w:val="000000"/>
        </w:rPr>
        <w:t> </w:t>
      </w:r>
      <w:r>
        <w:rPr>
          <w:rStyle w:val="Emphasis"/>
          <w:color w:val="000000"/>
        </w:rPr>
        <w:t xml:space="preserve">Florida v. </w:t>
      </w:r>
      <w:proofErr w:type="spellStart"/>
      <w:r>
        <w:rPr>
          <w:rStyle w:val="Emphasis"/>
          <w:color w:val="000000"/>
        </w:rPr>
        <w:t>Jardines</w:t>
      </w:r>
      <w:proofErr w:type="spellEnd"/>
      <w:r>
        <w:rPr>
          <w:rStyle w:val="apple-converted-space"/>
          <w:color w:val="000000"/>
        </w:rPr>
        <w:t> </w:t>
      </w:r>
      <w:r>
        <w:rPr>
          <w:color w:val="000000"/>
        </w:rPr>
        <w:t xml:space="preserve">(569 U.S. — [2013]) the Supreme Court clarified when police officers can use drug dogs to search private residences. In this case, based on an unverified tip that </w:t>
      </w:r>
      <w:proofErr w:type="spellStart"/>
      <w:r>
        <w:rPr>
          <w:color w:val="000000"/>
        </w:rPr>
        <w:t>Jardines</w:t>
      </w:r>
      <w:proofErr w:type="spellEnd"/>
      <w:r>
        <w:rPr>
          <w:color w:val="000000"/>
        </w:rPr>
        <w:t xml:space="preserve"> was growing marijuana plants in his home, the Miami-Dade Police Department arrived at </w:t>
      </w:r>
      <w:proofErr w:type="spellStart"/>
      <w:r>
        <w:rPr>
          <w:color w:val="000000"/>
        </w:rPr>
        <w:t>Jardines's</w:t>
      </w:r>
      <w:proofErr w:type="spellEnd"/>
      <w:r>
        <w:rPr>
          <w:color w:val="000000"/>
        </w:rPr>
        <w:t xml:space="preserve"> home with a surveillance team, which included a trained drug detection dog, Franky. Without a search warrant or consent from </w:t>
      </w:r>
      <w:proofErr w:type="spellStart"/>
      <w:r>
        <w:rPr>
          <w:color w:val="000000"/>
        </w:rPr>
        <w:t>Jardines</w:t>
      </w:r>
      <w:proofErr w:type="spellEnd"/>
      <w:r>
        <w:rPr>
          <w:color w:val="000000"/>
        </w:rPr>
        <w:t xml:space="preserve">, a police officer led Franky from the police vehicle parked on the public street onto the property and up onto the front porch of the home. Once on the front porch, Franky alerted, indicating the presence of drugs inside the house. Based on the alert given by Franky, the police obtained a warrant and returned the next day to search </w:t>
      </w:r>
      <w:proofErr w:type="spellStart"/>
      <w:r>
        <w:rPr>
          <w:color w:val="000000"/>
        </w:rPr>
        <w:t>Jardines's</w:t>
      </w:r>
      <w:proofErr w:type="spellEnd"/>
      <w:r>
        <w:rPr>
          <w:color w:val="000000"/>
        </w:rPr>
        <w:t xml:space="preserve"> home; the search revealed multiple marijuana plants. </w:t>
      </w:r>
      <w:proofErr w:type="spellStart"/>
      <w:r>
        <w:rPr>
          <w:color w:val="000000"/>
        </w:rPr>
        <w:t>Jardines</w:t>
      </w:r>
      <w:proofErr w:type="spellEnd"/>
      <w:r>
        <w:rPr>
          <w:color w:val="000000"/>
        </w:rPr>
        <w:t xml:space="preserve"> was arrested and charged with drug trafficking. At trial, he filed a motion to suppress the evidence found during the search of his home, arguing that the sniff search conducted on his front porch violated the Fourth Amendment because it occurred on private property. The trial court granted the motion. The Florida Third District Court of Appeals reversed the trial court's </w:t>
      </w:r>
      <w:proofErr w:type="gramStart"/>
      <w:r>
        <w:rPr>
          <w:color w:val="000000"/>
        </w:rPr>
        <w:t>decision</w:t>
      </w:r>
      <w:proofErr w:type="gramEnd"/>
      <w:r>
        <w:rPr>
          <w:color w:val="000000"/>
        </w:rPr>
        <w:t xml:space="preserve"> and the Florida Supreme Court then reinstituted the trial court's decision to suppress the evidence. The Supreme Court affirmed the decision of the Florida Supreme Court. The Court held that when police bring a drug sniffing dog onto someone's front porch this action constitutes a search and a trespass. While the public is allowed to stand upon someone's front porch, this does not authorize the police to bring a drug dog onto the porch </w:t>
      </w:r>
      <w:proofErr w:type="gramStart"/>
      <w:r>
        <w:rPr>
          <w:color w:val="000000"/>
        </w:rPr>
        <w:t>in order to</w:t>
      </w:r>
      <w:proofErr w:type="gramEnd"/>
      <w:r>
        <w:rPr>
          <w:color w:val="000000"/>
        </w:rPr>
        <w:t xml:space="preserve"> “search” the house via the drug dog's sense of smell. Previous rulings by the Court have established the front porch of a home is part of the curtilage, and therefore enjoys the same protections from unreasonable searches as the home.</w:t>
      </w:r>
    </w:p>
    <w:p w14:paraId="6B1FD1FE"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 xml:space="preserve">Florida v. </w:t>
      </w:r>
      <w:proofErr w:type="spellStart"/>
      <w:r>
        <w:rPr>
          <w:rStyle w:val="Emphasis"/>
          <w:color w:val="000000"/>
          <w:sz w:val="20"/>
          <w:szCs w:val="20"/>
        </w:rPr>
        <w:t>Jardines</w:t>
      </w:r>
      <w:proofErr w:type="spellEnd"/>
      <w:r>
        <w:rPr>
          <w:rStyle w:val="apple-converted-space"/>
          <w:color w:val="000000"/>
          <w:sz w:val="20"/>
          <w:szCs w:val="20"/>
        </w:rPr>
        <w:t> </w:t>
      </w:r>
      <w:r>
        <w:rPr>
          <w:color w:val="000000"/>
          <w:sz w:val="20"/>
          <w:szCs w:val="20"/>
        </w:rPr>
        <w:t>(2013)</w:t>
      </w:r>
    </w:p>
    <w:p w14:paraId="3EC7E8DF" w14:textId="1413E4B0" w:rsidR="00AC7260" w:rsidRDefault="00AC7260" w:rsidP="00AC7260">
      <w:pPr>
        <w:rPr>
          <w:b/>
          <w:bCs/>
          <w:color w:val="000000"/>
          <w:sz w:val="26"/>
          <w:szCs w:val="26"/>
        </w:rPr>
      </w:pPr>
      <w:r>
        <w:rPr>
          <w:b/>
          <w:bCs/>
          <w:color w:val="000000"/>
          <w:sz w:val="26"/>
          <w:szCs w:val="26"/>
        </w:rPr>
        <w:fldChar w:fldCharType="begin"/>
      </w:r>
      <w:r>
        <w:rPr>
          <w:b/>
          <w:bCs/>
          <w:color w:val="000000"/>
          <w:sz w:val="26"/>
          <w:szCs w:val="26"/>
        </w:rPr>
        <w:instrText xml:space="preserve"> INCLUDEPICTURE "/var/folders/56/wnp8pdsd019fkrmvxtft5_b00000gn/T/com.microsoft.Word/WebArchiveCopyPasteTempFiles/highlight.jpg" \* MERGEFORMATINET </w:instrText>
      </w:r>
      <w:r>
        <w:rPr>
          <w:b/>
          <w:bCs/>
          <w:color w:val="000000"/>
          <w:sz w:val="26"/>
          <w:szCs w:val="26"/>
        </w:rPr>
        <w:fldChar w:fldCharType="separate"/>
      </w:r>
      <w:r>
        <w:rPr>
          <w:b/>
          <w:bCs/>
          <w:noProof/>
          <w:color w:val="000000"/>
          <w:sz w:val="26"/>
          <w:szCs w:val="26"/>
        </w:rPr>
        <w:drawing>
          <wp:inline distT="0" distB="0" distL="0" distR="0" wp14:anchorId="311F95F0" wp14:editId="302B9C32">
            <wp:extent cx="765175"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65175" cy="765175"/>
                    </a:xfrm>
                    <a:prstGeom prst="rect">
                      <a:avLst/>
                    </a:prstGeom>
                    <a:noFill/>
                    <a:ln>
                      <a:noFill/>
                    </a:ln>
                  </pic:spPr>
                </pic:pic>
              </a:graphicData>
            </a:graphic>
          </wp:inline>
        </w:drawing>
      </w:r>
      <w:r>
        <w:rPr>
          <w:b/>
          <w:bCs/>
          <w:color w:val="000000"/>
          <w:sz w:val="26"/>
          <w:szCs w:val="26"/>
        </w:rPr>
        <w:fldChar w:fldCharType="end"/>
      </w:r>
      <w:r>
        <w:rPr>
          <w:b/>
          <w:bCs/>
          <w:color w:val="000000"/>
          <w:sz w:val="26"/>
          <w:szCs w:val="26"/>
        </w:rPr>
        <w:t> </w:t>
      </w:r>
      <w:r>
        <w:rPr>
          <w:b/>
          <w:bCs/>
          <w:color w:val="818285"/>
          <w:sz w:val="34"/>
          <w:szCs w:val="34"/>
        </w:rPr>
        <w:t>HIGHLIGHT</w:t>
      </w:r>
      <w:r>
        <w:rPr>
          <w:b/>
          <w:bCs/>
          <w:color w:val="000000"/>
          <w:sz w:val="26"/>
          <w:szCs w:val="26"/>
        </w:rPr>
        <w:t> </w:t>
      </w:r>
      <w:r>
        <w:rPr>
          <w:b/>
          <w:bCs/>
          <w:color w:val="000000"/>
          <w:sz w:val="26"/>
          <w:szCs w:val="26"/>
        </w:rPr>
        <w:fldChar w:fldCharType="begin"/>
      </w:r>
      <w:r>
        <w:rPr>
          <w:b/>
          <w:bCs/>
          <w:color w:val="000000"/>
          <w:sz w:val="26"/>
          <w:szCs w:val="26"/>
        </w:rPr>
        <w:instrText xml:space="preserve"> INCLUDEPICTURE "/var/folders/56/wnp8pdsd019fkrmvxtft5_b00000gn/T/com.microsoft.Word/WebArchiveCopyPasteTempFiles/bull1.jpg" \* MERGEFORMATINET </w:instrText>
      </w:r>
      <w:r>
        <w:rPr>
          <w:b/>
          <w:bCs/>
          <w:color w:val="000000"/>
          <w:sz w:val="26"/>
          <w:szCs w:val="26"/>
        </w:rPr>
        <w:fldChar w:fldCharType="separate"/>
      </w:r>
      <w:r>
        <w:rPr>
          <w:b/>
          <w:bCs/>
          <w:noProof/>
          <w:color w:val="000000"/>
          <w:sz w:val="26"/>
          <w:szCs w:val="26"/>
        </w:rPr>
        <w:drawing>
          <wp:inline distT="0" distB="0" distL="0" distR="0" wp14:anchorId="23C7F03B" wp14:editId="56B08DF0">
            <wp:extent cx="128905" cy="258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8905" cy="258445"/>
                    </a:xfrm>
                    <a:prstGeom prst="rect">
                      <a:avLst/>
                    </a:prstGeom>
                    <a:noFill/>
                    <a:ln>
                      <a:noFill/>
                    </a:ln>
                  </pic:spPr>
                </pic:pic>
              </a:graphicData>
            </a:graphic>
          </wp:inline>
        </w:drawing>
      </w:r>
      <w:r>
        <w:rPr>
          <w:b/>
          <w:bCs/>
          <w:color w:val="000000"/>
          <w:sz w:val="26"/>
          <w:szCs w:val="26"/>
        </w:rPr>
        <w:fldChar w:fldCharType="end"/>
      </w:r>
      <w:r>
        <w:rPr>
          <w:b/>
          <w:bCs/>
          <w:color w:val="000000"/>
          <w:sz w:val="26"/>
          <w:szCs w:val="26"/>
        </w:rPr>
        <w:t> </w:t>
      </w:r>
      <w:r>
        <w:rPr>
          <w:b/>
          <w:bCs/>
          <w:color w:val="000000"/>
          <w:sz w:val="26"/>
          <w:szCs w:val="26"/>
        </w:rPr>
        <w:t>The Use of Drug Dogs and the Fourth Amendment</w:t>
      </w:r>
    </w:p>
    <w:p w14:paraId="163D868F" w14:textId="77777777" w:rsidR="00AC7260" w:rsidRDefault="00AC7260" w:rsidP="00AC7260">
      <w:pPr>
        <w:pStyle w:val="noindent"/>
        <w:spacing w:before="0" w:beforeAutospacing="0" w:after="0" w:afterAutospacing="0"/>
        <w:jc w:val="both"/>
        <w:rPr>
          <w:color w:val="000000"/>
        </w:rPr>
      </w:pPr>
      <w:r>
        <w:rPr>
          <w:color w:val="000000"/>
        </w:rPr>
        <w:t>“[T]</w:t>
      </w:r>
      <w:proofErr w:type="gramStart"/>
      <w:r>
        <w:rPr>
          <w:color w:val="000000"/>
        </w:rPr>
        <w:t>he</w:t>
      </w:r>
      <w:proofErr w:type="gramEnd"/>
      <w:r>
        <w:rPr>
          <w:color w:val="000000"/>
        </w:rPr>
        <w:t xml:space="preserve"> use of a well-trained narcotics-detection dog—one that does not expose noncontraband items that otherwise would remain hidden from public view, during a lawful traffic stop, generally does not implicate legitimate privacy interests. In this case, the dog sniff was performed on the exterior of respondent's car while he was lawfully seized for a traffic violation. Any intrusion on respondent's privacy expectations does not rise to the level of a constitutionally cognizable </w:t>
      </w:r>
      <w:proofErr w:type="spellStart"/>
      <w:r>
        <w:rPr>
          <w:color w:val="000000"/>
        </w:rPr>
        <w:t>nfringement</w:t>
      </w:r>
      <w:proofErr w:type="spellEnd"/>
      <w:r>
        <w:rPr>
          <w:color w:val="000000"/>
        </w:rPr>
        <w:t>.”</w:t>
      </w:r>
    </w:p>
    <w:p w14:paraId="515FE3BB" w14:textId="77777777" w:rsidR="00AC7260" w:rsidRDefault="00AC7260" w:rsidP="00AC7260">
      <w:pPr>
        <w:pStyle w:val="footnote1"/>
        <w:spacing w:before="120" w:beforeAutospacing="0" w:after="120" w:afterAutospacing="0"/>
        <w:jc w:val="both"/>
        <w:rPr>
          <w:color w:val="000000"/>
          <w:sz w:val="19"/>
          <w:szCs w:val="19"/>
        </w:rPr>
      </w:pPr>
      <w:r>
        <w:rPr>
          <w:color w:val="000000"/>
          <w:sz w:val="19"/>
          <w:szCs w:val="19"/>
        </w:rPr>
        <w:t>Source:</w:t>
      </w:r>
      <w:r>
        <w:rPr>
          <w:rStyle w:val="apple-converted-space"/>
          <w:color w:val="000000"/>
          <w:sz w:val="19"/>
          <w:szCs w:val="19"/>
        </w:rPr>
        <w:t> </w:t>
      </w:r>
      <w:r>
        <w:rPr>
          <w:rStyle w:val="Emphasis"/>
          <w:color w:val="000000"/>
          <w:sz w:val="19"/>
          <w:szCs w:val="19"/>
        </w:rPr>
        <w:t xml:space="preserve">Illinois v. </w:t>
      </w:r>
      <w:proofErr w:type="spellStart"/>
      <w:r>
        <w:rPr>
          <w:rStyle w:val="Emphasis"/>
          <w:color w:val="000000"/>
          <w:sz w:val="19"/>
          <w:szCs w:val="19"/>
        </w:rPr>
        <w:t>Caballes</w:t>
      </w:r>
      <w:proofErr w:type="spellEnd"/>
      <w:r>
        <w:rPr>
          <w:color w:val="000000"/>
          <w:sz w:val="19"/>
          <w:szCs w:val="19"/>
        </w:rPr>
        <w:t>, 543 U.S. 405 (2005).</w:t>
      </w:r>
    </w:p>
    <w:p w14:paraId="66B05738" w14:textId="77777777" w:rsidR="00AC7260" w:rsidRDefault="00AC7260" w:rsidP="00AC7260">
      <w:pPr>
        <w:pStyle w:val="indent"/>
        <w:spacing w:before="0" w:beforeAutospacing="0" w:after="0" w:afterAutospacing="0"/>
        <w:ind w:firstLine="360"/>
        <w:jc w:val="both"/>
        <w:rPr>
          <w:color w:val="000000"/>
        </w:rPr>
      </w:pPr>
      <w:r>
        <w:rPr>
          <w:color w:val="000000"/>
        </w:rPr>
        <w:t>The difference between this case and the previous dog-sniffing cases decided by the Court is that</w:t>
      </w:r>
      <w:r>
        <w:rPr>
          <w:rStyle w:val="apple-converted-space"/>
          <w:color w:val="000000"/>
        </w:rPr>
        <w:t> </w:t>
      </w:r>
      <w:r>
        <w:rPr>
          <w:rStyle w:val="Emphasis"/>
          <w:color w:val="000000"/>
        </w:rPr>
        <w:t>United States v. Place</w:t>
      </w:r>
      <w:r>
        <w:rPr>
          <w:rStyle w:val="apple-converted-space"/>
          <w:color w:val="000000"/>
        </w:rPr>
        <w:t> </w:t>
      </w:r>
      <w:r>
        <w:rPr>
          <w:color w:val="000000"/>
        </w:rPr>
        <w:t>(1980), involved dog-sniffing the luggage of a man who was detained in an airport, and</w:t>
      </w:r>
      <w:r>
        <w:rPr>
          <w:rStyle w:val="apple-converted-space"/>
          <w:color w:val="000000"/>
        </w:rPr>
        <w:t> </w:t>
      </w:r>
      <w:r>
        <w:rPr>
          <w:rStyle w:val="Emphasis"/>
          <w:color w:val="000000"/>
        </w:rPr>
        <w:t xml:space="preserve">Illinois v. </w:t>
      </w:r>
      <w:proofErr w:type="spellStart"/>
      <w:r>
        <w:rPr>
          <w:rStyle w:val="Emphasis"/>
          <w:color w:val="000000"/>
        </w:rPr>
        <w:t>Caballes</w:t>
      </w:r>
      <w:proofErr w:type="spellEnd"/>
      <w:r>
        <w:rPr>
          <w:rStyle w:val="apple-converted-space"/>
          <w:color w:val="000000"/>
        </w:rPr>
        <w:t> </w:t>
      </w:r>
      <w:r>
        <w:rPr>
          <w:color w:val="000000"/>
        </w:rPr>
        <w:t>(2005) involved a police dog sniffing a motor vehicle during a traffic stop—both cases involved dog sniffs in public places. In contrast, the</w:t>
      </w:r>
      <w:r>
        <w:rPr>
          <w:rStyle w:val="apple-converted-space"/>
          <w:color w:val="000000"/>
        </w:rPr>
        <w:t> </w:t>
      </w:r>
      <w:proofErr w:type="spellStart"/>
      <w:r>
        <w:rPr>
          <w:rStyle w:val="Emphasis"/>
          <w:color w:val="000000"/>
        </w:rPr>
        <w:t>Jardines</w:t>
      </w:r>
      <w:proofErr w:type="spellEnd"/>
      <w:r>
        <w:rPr>
          <w:rStyle w:val="apple-converted-space"/>
          <w:color w:val="000000"/>
        </w:rPr>
        <w:t> </w:t>
      </w:r>
      <w:r>
        <w:rPr>
          <w:color w:val="000000"/>
        </w:rPr>
        <w:t>case involves police dog sniffing the front door of a home, a private and highly protected property.</w:t>
      </w:r>
    </w:p>
    <w:p w14:paraId="160EFAD4" w14:textId="77777777" w:rsidR="00AC7260" w:rsidRDefault="00AC7260" w:rsidP="00AC7260">
      <w:pPr>
        <w:pStyle w:val="Heading3"/>
        <w:spacing w:before="240" w:after="120"/>
        <w:rPr>
          <w:color w:val="000000"/>
          <w:sz w:val="29"/>
          <w:szCs w:val="29"/>
        </w:rPr>
      </w:pPr>
      <w:hyperlink r:id="rId136" w:anchor="toc-ch7-34" w:history="1">
        <w:r>
          <w:rPr>
            <w:rStyle w:val="Hyperlink"/>
            <w:color w:val="000000"/>
            <w:sz w:val="29"/>
            <w:szCs w:val="29"/>
          </w:rPr>
          <w:t>Searches and Seizures of Computers</w:t>
        </w:r>
      </w:hyperlink>
    </w:p>
    <w:p w14:paraId="57B957AD" w14:textId="77777777" w:rsidR="00AC7260" w:rsidRDefault="00AC7260" w:rsidP="00AC7260">
      <w:pPr>
        <w:pStyle w:val="noindent"/>
        <w:spacing w:before="0" w:beforeAutospacing="0" w:after="0" w:afterAutospacing="0"/>
        <w:jc w:val="both"/>
        <w:rPr>
          <w:color w:val="000000"/>
        </w:rPr>
      </w:pPr>
      <w:r>
        <w:rPr>
          <w:color w:val="000000"/>
        </w:rPr>
        <w:t xml:space="preserve">Searches and seizures of computers and other electronic gadgets (such as laptops, personal digital assistants, and cell phones) have increasingly become problems in policing because these devices are being used by criminals more frequently. The good news is that the police now use computers to solve crimes; the bad news is that criminals also use computers to plan and commit crimes. Two issues arise in computer searches: (1) Are these searches constitutional or are they Fourth </w:t>
      </w:r>
      <w:r>
        <w:rPr>
          <w:color w:val="000000"/>
        </w:rPr>
        <w:lastRenderedPageBreak/>
        <w:t>Amendment violations, and (2) what procedures must law enforcement use to preserve the evidence seized?</w:t>
      </w:r>
    </w:p>
    <w:p w14:paraId="7C657EAE" w14:textId="77777777" w:rsidR="00AC7260" w:rsidRDefault="00AC7260" w:rsidP="00AC7260">
      <w:pPr>
        <w:pStyle w:val="noindent"/>
        <w:spacing w:before="240" w:beforeAutospacing="0" w:after="0" w:afterAutospacing="0"/>
        <w:jc w:val="both"/>
        <w:rPr>
          <w:color w:val="000000"/>
        </w:rPr>
      </w:pPr>
      <w:r>
        <w:rPr>
          <w:b/>
          <w:bCs/>
          <w:color w:val="000000"/>
        </w:rPr>
        <w:t>Legal Requirements</w:t>
      </w:r>
      <w:r>
        <w:rPr>
          <w:rStyle w:val="apple-converted-space"/>
          <w:color w:val="000000"/>
        </w:rPr>
        <w:t> </w:t>
      </w:r>
      <w:r>
        <w:rPr>
          <w:color w:val="000000"/>
        </w:rPr>
        <w:t>In general, searches and seizures of computers have the same legal requirements as any other type of seizure, meaning there must be a warrant based on probable cause. A manual on computer searches, titled</w:t>
      </w:r>
      <w:r>
        <w:rPr>
          <w:rStyle w:val="apple-converted-space"/>
          <w:color w:val="000000"/>
        </w:rPr>
        <w:t> </w:t>
      </w:r>
      <w:r>
        <w:rPr>
          <w:rStyle w:val="Emphasis"/>
          <w:color w:val="000000"/>
        </w:rPr>
        <w:t>Computer Searches</w:t>
      </w:r>
      <w:r>
        <w:rPr>
          <w:rStyle w:val="apple-converted-space"/>
          <w:color w:val="000000"/>
        </w:rPr>
        <w:t> </w:t>
      </w:r>
      <w:r>
        <w:rPr>
          <w:color w:val="000000"/>
        </w:rPr>
        <w:t>(issued by the District Attorney's Office of Alameda County, California), states that there are two requirements for the issuance of a warrant to search a computer: (1) “probable cause to believe the data to be seized exists, is evidence of a crime, and is presently located at the place to be searched,” and (2) “a reasonably detailed description of the place to be searched and the data to be seized.”</w:t>
      </w:r>
      <w:hyperlink r:id="rId137" w:anchor="ch7-fn1" w:history="1">
        <w:r>
          <w:rPr>
            <w:rStyle w:val="Hyperlink"/>
            <w:sz w:val="17"/>
            <w:szCs w:val="17"/>
            <w:vertAlign w:val="superscript"/>
          </w:rPr>
          <w:t>1</w:t>
        </w:r>
      </w:hyperlink>
      <w:r>
        <w:rPr>
          <w:rStyle w:val="apple-converted-space"/>
          <w:color w:val="000000"/>
        </w:rPr>
        <w:t> </w:t>
      </w:r>
      <w:r>
        <w:rPr>
          <w:color w:val="000000"/>
        </w:rPr>
        <w:t>Both requirements are similar to those for non-computer searches.</w:t>
      </w:r>
    </w:p>
    <w:p w14:paraId="5CB9DC8F" w14:textId="77777777" w:rsidR="00AC7260" w:rsidRDefault="00AC7260" w:rsidP="00AC7260">
      <w:pPr>
        <w:pStyle w:val="noindent"/>
        <w:spacing w:before="240" w:beforeAutospacing="0" w:after="0" w:afterAutospacing="0"/>
        <w:jc w:val="both"/>
        <w:rPr>
          <w:color w:val="000000"/>
        </w:rPr>
      </w:pPr>
      <w:r>
        <w:rPr>
          <w:b/>
          <w:bCs/>
          <w:color w:val="000000"/>
        </w:rPr>
        <w:t>Probable Cause in Computer Searches</w:t>
      </w:r>
      <w:r>
        <w:rPr>
          <w:rStyle w:val="apple-converted-space"/>
          <w:color w:val="000000"/>
        </w:rPr>
        <w:t> </w:t>
      </w:r>
      <w:r>
        <w:rPr>
          <w:color w:val="000000"/>
        </w:rPr>
        <w:t>Probable cause is likely established if the suspect is in possession of incriminating data, if the data are stored on a computer, and if the computer is likely to be found in the place to be searched.</w:t>
      </w:r>
      <w:hyperlink r:id="rId138" w:anchor="ch7-fn2" w:history="1">
        <w:r>
          <w:rPr>
            <w:rStyle w:val="Hyperlink"/>
            <w:sz w:val="17"/>
            <w:szCs w:val="17"/>
            <w:vertAlign w:val="superscript"/>
          </w:rPr>
          <w:t>2</w:t>
        </w:r>
      </w:hyperlink>
      <w:r>
        <w:rPr>
          <w:rStyle w:val="apple-converted-space"/>
          <w:color w:val="000000"/>
        </w:rPr>
        <w:t> </w:t>
      </w:r>
      <w:r>
        <w:rPr>
          <w:color w:val="000000"/>
        </w:rPr>
        <w:t>The requirement for a description of the place to be searched is similar to what is required for other types of warrants; the warrant must “contain a reasonably detailed description of the home or office that will be searched.” Describing the hardware or software to be searched also needs particularity.</w:t>
      </w:r>
    </w:p>
    <w:p w14:paraId="614F43D2" w14:textId="77777777" w:rsidR="00AC7260" w:rsidRDefault="00AC7260" w:rsidP="00AC7260">
      <w:pPr>
        <w:pStyle w:val="noindent"/>
        <w:spacing w:before="240" w:beforeAutospacing="0" w:after="0" w:afterAutospacing="0"/>
        <w:jc w:val="both"/>
        <w:rPr>
          <w:color w:val="000000"/>
        </w:rPr>
      </w:pPr>
      <w:r>
        <w:rPr>
          <w:b/>
          <w:bCs/>
          <w:color w:val="000000"/>
        </w:rPr>
        <w:t>Computers and Reasonable Expectation of Privacy</w:t>
      </w:r>
      <w:r>
        <w:rPr>
          <w:rStyle w:val="apple-converted-space"/>
          <w:color w:val="000000"/>
        </w:rPr>
        <w:t> </w:t>
      </w:r>
      <w:r>
        <w:rPr>
          <w:color w:val="000000"/>
        </w:rPr>
        <w:t>How is reasonable expectation of privacy determined for computers? A Justice Department publication says:</w:t>
      </w:r>
    </w:p>
    <w:p w14:paraId="38E9C261" w14:textId="77777777" w:rsidR="00AC7260" w:rsidRDefault="00AC7260" w:rsidP="00AC7260">
      <w:pPr>
        <w:pStyle w:val="noindent"/>
        <w:spacing w:before="0" w:beforeAutospacing="0" w:after="0" w:afterAutospacing="0"/>
        <w:jc w:val="both"/>
        <w:rPr>
          <w:color w:val="000000"/>
          <w:sz w:val="22"/>
          <w:szCs w:val="22"/>
        </w:rPr>
      </w:pPr>
      <w:r>
        <w:rPr>
          <w:color w:val="000000"/>
          <w:sz w:val="22"/>
          <w:szCs w:val="22"/>
        </w:rPr>
        <w:t xml:space="preserve">To determine whether an individual has a reasonable expectation of privacy in </w:t>
      </w:r>
      <w:proofErr w:type="spellStart"/>
      <w:r>
        <w:rPr>
          <w:color w:val="000000"/>
          <w:sz w:val="22"/>
          <w:szCs w:val="22"/>
        </w:rPr>
        <w:t>nformation</w:t>
      </w:r>
      <w:proofErr w:type="spellEnd"/>
      <w:r>
        <w:rPr>
          <w:color w:val="000000"/>
          <w:sz w:val="22"/>
          <w:szCs w:val="22"/>
        </w:rPr>
        <w:t xml:space="preserve"> stored in a computer, it helps to treat the computer like a closed container such as a briefcase or file cabinet. The Fourth Amendment generally prohibits law</w:t>
      </w:r>
      <w:r>
        <w:rPr>
          <w:rStyle w:val="apple-converted-space"/>
          <w:color w:val="000000"/>
          <w:sz w:val="22"/>
          <w:szCs w:val="22"/>
        </w:rPr>
        <w:t> </w:t>
      </w:r>
      <w:r>
        <w:rPr>
          <w:color w:val="000000"/>
          <w:sz w:val="22"/>
          <w:szCs w:val="22"/>
        </w:rPr>
        <w:t>enforcement from accessing and viewing information stored in a computer without a warrant if it would be prohibited from opening a closed container and examining its contents in the same situation.</w:t>
      </w:r>
      <w:hyperlink r:id="rId139" w:anchor="ch7-fn3" w:history="1">
        <w:r>
          <w:rPr>
            <w:rStyle w:val="Hyperlink"/>
            <w:sz w:val="15"/>
            <w:szCs w:val="15"/>
            <w:vertAlign w:val="superscript"/>
          </w:rPr>
          <w:t>3</w:t>
        </w:r>
      </w:hyperlink>
    </w:p>
    <w:p w14:paraId="7AD2DD13" w14:textId="77777777" w:rsidR="00AC7260" w:rsidRDefault="00AC7260" w:rsidP="00AC7260">
      <w:pPr>
        <w:pStyle w:val="noindent"/>
        <w:spacing w:before="0" w:beforeAutospacing="0" w:after="0" w:afterAutospacing="0"/>
        <w:jc w:val="both"/>
        <w:rPr>
          <w:color w:val="000000"/>
        </w:rPr>
      </w:pPr>
      <w:r>
        <w:rPr>
          <w:color w:val="000000"/>
        </w:rPr>
        <w:t>There is no reasonable expectation of privacy, however, in the following cases: (1) when a person has made such information openly available, (2) when the contents of stolen computers are involved, (3) when the control of the computer has been given to a third party, and (4) when the owner loses control of the file.</w:t>
      </w:r>
      <w:hyperlink r:id="rId140" w:anchor="ch7-fn4" w:history="1">
        <w:r>
          <w:rPr>
            <w:rStyle w:val="Hyperlink"/>
            <w:sz w:val="17"/>
            <w:szCs w:val="17"/>
            <w:vertAlign w:val="superscript"/>
          </w:rPr>
          <w:t>4</w:t>
        </w:r>
      </w:hyperlink>
    </w:p>
    <w:p w14:paraId="11DF739D" w14:textId="77777777" w:rsidR="00AC7260" w:rsidRDefault="00AC7260" w:rsidP="00AC7260">
      <w:pPr>
        <w:pStyle w:val="Heading3"/>
        <w:spacing w:before="240" w:after="120"/>
        <w:rPr>
          <w:color w:val="000000"/>
          <w:sz w:val="29"/>
          <w:szCs w:val="29"/>
        </w:rPr>
      </w:pPr>
      <w:hyperlink r:id="rId141" w:anchor="toc-ch7-35" w:history="1">
        <w:r>
          <w:rPr>
            <w:rStyle w:val="Hyperlink"/>
            <w:color w:val="000000"/>
            <w:sz w:val="29"/>
            <w:szCs w:val="29"/>
            <w:u w:val="none"/>
          </w:rPr>
          <w:t>Searches and Seizures of Text Messages in a Cell Phone</w:t>
        </w:r>
      </w:hyperlink>
    </w:p>
    <w:p w14:paraId="4462FD8A" w14:textId="77777777" w:rsidR="00AC7260" w:rsidRDefault="00AC7260" w:rsidP="00AC7260">
      <w:pPr>
        <w:pStyle w:val="noindent"/>
        <w:spacing w:before="0" w:beforeAutospacing="0" w:after="0" w:afterAutospacing="0"/>
        <w:jc w:val="both"/>
        <w:rPr>
          <w:color w:val="000000"/>
        </w:rPr>
      </w:pPr>
      <w:r>
        <w:rPr>
          <w:color w:val="000000"/>
        </w:rPr>
        <w:t>In two cases decided together in 2013, the Supreme Court for the first time dealt with the applicability of the Fourth Amendment to searches of cell phones. In</w:t>
      </w:r>
      <w:r>
        <w:rPr>
          <w:rStyle w:val="apple-converted-space"/>
          <w:color w:val="000000"/>
        </w:rPr>
        <w:t> </w:t>
      </w:r>
      <w:r>
        <w:rPr>
          <w:rStyle w:val="Emphasis"/>
          <w:color w:val="000000"/>
        </w:rPr>
        <w:t xml:space="preserve">United States v. </w:t>
      </w:r>
      <w:proofErr w:type="spellStart"/>
      <w:r>
        <w:rPr>
          <w:rStyle w:val="Emphasis"/>
          <w:color w:val="000000"/>
        </w:rPr>
        <w:t>Wurie</w:t>
      </w:r>
      <w:proofErr w:type="spellEnd"/>
      <w:r>
        <w:rPr>
          <w:color w:val="000000"/>
        </w:rPr>
        <w:t xml:space="preserve">, Boston police officers observed </w:t>
      </w:r>
      <w:proofErr w:type="spellStart"/>
      <w:r>
        <w:rPr>
          <w:color w:val="000000"/>
        </w:rPr>
        <w:t>Brima</w:t>
      </w:r>
      <w:proofErr w:type="spellEnd"/>
      <w:r>
        <w:rPr>
          <w:color w:val="000000"/>
        </w:rPr>
        <w:t xml:space="preserve"> </w:t>
      </w:r>
      <w:proofErr w:type="spellStart"/>
      <w:r>
        <w:rPr>
          <w:color w:val="000000"/>
        </w:rPr>
        <w:t>Wurie</w:t>
      </w:r>
      <w:proofErr w:type="spellEnd"/>
      <w:r>
        <w:rPr>
          <w:color w:val="000000"/>
        </w:rPr>
        <w:t xml:space="preserve"> conduct a drug sale from his vehicle. The officers then arrested </w:t>
      </w:r>
      <w:proofErr w:type="spellStart"/>
      <w:r>
        <w:rPr>
          <w:color w:val="000000"/>
        </w:rPr>
        <w:t>Wurie</w:t>
      </w:r>
      <w:proofErr w:type="spellEnd"/>
      <w:r>
        <w:rPr>
          <w:color w:val="000000"/>
        </w:rPr>
        <w:t xml:space="preserve">, conducted a search of </w:t>
      </w:r>
      <w:proofErr w:type="spellStart"/>
      <w:r>
        <w:rPr>
          <w:color w:val="000000"/>
        </w:rPr>
        <w:t>Wurie's</w:t>
      </w:r>
      <w:proofErr w:type="spellEnd"/>
      <w:r>
        <w:rPr>
          <w:color w:val="000000"/>
        </w:rPr>
        <w:t xml:space="preserve"> person, and seized two cell phones. Later, while at the police station one of the cellphones, an old-fashioned “flip” phone, rang repeatedly. The officers inspected the phone and noticed that it was receiving </w:t>
      </w:r>
      <w:proofErr w:type="gramStart"/>
      <w:r>
        <w:rPr>
          <w:color w:val="000000"/>
        </w:rPr>
        <w:t>a number of</w:t>
      </w:r>
      <w:proofErr w:type="gramEnd"/>
      <w:r>
        <w:rPr>
          <w:color w:val="000000"/>
        </w:rPr>
        <w:t xml:space="preserve"> calls from a number identified as “my house.” The officers opened the phone, obtained the phone number for “my house,” and inspected the screen saver of the phone, which featured a young woman and a small child. The officers obtained an address for the number and went to the location. A young woman who matched the picture on the phone answered the door. The officers then obtained a search warrant and conducted a search of the premises, where they found a large amount of crack cocaine, drug paraphernalia, and firearms. The state then charged </w:t>
      </w:r>
      <w:proofErr w:type="spellStart"/>
      <w:r>
        <w:rPr>
          <w:color w:val="000000"/>
        </w:rPr>
        <w:t>Wurie</w:t>
      </w:r>
      <w:proofErr w:type="spellEnd"/>
      <w:r>
        <w:rPr>
          <w:color w:val="000000"/>
        </w:rPr>
        <w:t xml:space="preserve"> with multiple offenses. </w:t>
      </w:r>
      <w:proofErr w:type="spellStart"/>
      <w:r>
        <w:rPr>
          <w:color w:val="000000"/>
        </w:rPr>
        <w:t>Wurie</w:t>
      </w:r>
      <w:proofErr w:type="spellEnd"/>
      <w:r>
        <w:rPr>
          <w:color w:val="000000"/>
        </w:rPr>
        <w:t xml:space="preserve"> moved to suppress the evidence on the ground that the initial search of the flip phone violated his Fourth Amendment rights. The District Court denied his motion, and he was convicted and sentenced to 262 months in prison. The First Circuit Court of Appeals reversed, holding that the </w:t>
      </w:r>
      <w:r>
        <w:rPr>
          <w:color w:val="000000"/>
        </w:rPr>
        <w:lastRenderedPageBreak/>
        <w:t>search incident exception to the Fourth Amendment did not allow police officers to search the digital contents of a cell phone. The Supreme Court granted certiorari, along with</w:t>
      </w:r>
      <w:r>
        <w:rPr>
          <w:rStyle w:val="apple-converted-space"/>
          <w:color w:val="000000"/>
        </w:rPr>
        <w:t> </w:t>
      </w:r>
      <w:r>
        <w:rPr>
          <w:rStyle w:val="Emphasis"/>
          <w:color w:val="000000"/>
        </w:rPr>
        <w:t>California v. Riley</w:t>
      </w:r>
      <w:r>
        <w:rPr>
          <w:color w:val="000000"/>
        </w:rPr>
        <w:t>.</w:t>
      </w:r>
    </w:p>
    <w:p w14:paraId="24A5771E"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 xml:space="preserve">United States v. </w:t>
      </w:r>
      <w:proofErr w:type="spellStart"/>
      <w:r>
        <w:rPr>
          <w:rStyle w:val="Emphasis"/>
          <w:color w:val="000000"/>
          <w:sz w:val="20"/>
          <w:szCs w:val="20"/>
        </w:rPr>
        <w:t>Wurie</w:t>
      </w:r>
      <w:proofErr w:type="spellEnd"/>
      <w:r>
        <w:rPr>
          <w:rStyle w:val="apple-converted-space"/>
          <w:color w:val="000000"/>
          <w:sz w:val="20"/>
          <w:szCs w:val="20"/>
        </w:rPr>
        <w:t> </w:t>
      </w:r>
      <w:r>
        <w:rPr>
          <w:color w:val="000000"/>
          <w:sz w:val="20"/>
          <w:szCs w:val="20"/>
        </w:rPr>
        <w:t>(2013)</w:t>
      </w:r>
    </w:p>
    <w:p w14:paraId="7AD78785"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r>
        <w:rPr>
          <w:rStyle w:val="Emphasis"/>
          <w:color w:val="000000"/>
        </w:rPr>
        <w:t>California v. Riley</w:t>
      </w:r>
      <w:r>
        <w:rPr>
          <w:color w:val="000000"/>
        </w:rPr>
        <w:t xml:space="preserve">, police officers in San Diego arrested David Riley for driving with a suspended driver's license. They impounded and searched the vehicle; the search uncovered two handguns. The government then charged Riley with two felonies related to these firearms. The search also revealed several items that pointed to Riley being involved in the “Bloods” street gang. At the time of his arrest Riley was carrying a so-called “smart phone.” The officers searched the contents of the phone at the scene of arrest and again at the station. The phone contained evidence of “Blood” activity, including a recent shooting. The state then charged Riley for his participation in this shooting. Riley moved to suppress the evidence from the search of his cell phone, contending that there were no exigent circumstances to justify the warrantless search. Riley was eventually convicted. The California Court of Appeals affirmed the conviction. The Supreme Court then granted </w:t>
      </w:r>
      <w:proofErr w:type="gramStart"/>
      <w:r>
        <w:rPr>
          <w:color w:val="000000"/>
        </w:rPr>
        <w:t>certiorari, and</w:t>
      </w:r>
      <w:proofErr w:type="gramEnd"/>
      <w:r>
        <w:rPr>
          <w:color w:val="000000"/>
        </w:rPr>
        <w:t xml:space="preserve"> combined the case with</w:t>
      </w:r>
      <w:r>
        <w:rPr>
          <w:rStyle w:val="apple-converted-space"/>
          <w:color w:val="000000"/>
        </w:rPr>
        <w:t> </w:t>
      </w:r>
      <w:proofErr w:type="spellStart"/>
      <w:r>
        <w:rPr>
          <w:rStyle w:val="Emphasis"/>
          <w:color w:val="000000"/>
        </w:rPr>
        <w:t>Wurie</w:t>
      </w:r>
      <w:proofErr w:type="spellEnd"/>
      <w:r>
        <w:rPr>
          <w:rStyle w:val="apple-converted-space"/>
          <w:color w:val="000000"/>
        </w:rPr>
        <w:t> </w:t>
      </w:r>
      <w:r>
        <w:rPr>
          <w:color w:val="000000"/>
        </w:rPr>
        <w:t>case.</w:t>
      </w:r>
    </w:p>
    <w:p w14:paraId="3977006A"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California v. Riley</w:t>
      </w:r>
      <w:r>
        <w:rPr>
          <w:rStyle w:val="apple-converted-space"/>
          <w:color w:val="000000"/>
          <w:sz w:val="20"/>
          <w:szCs w:val="20"/>
        </w:rPr>
        <w:t> </w:t>
      </w:r>
      <w:r>
        <w:rPr>
          <w:color w:val="000000"/>
          <w:sz w:val="20"/>
          <w:szCs w:val="20"/>
        </w:rPr>
        <w:t>(2013)</w:t>
      </w:r>
    </w:p>
    <w:p w14:paraId="2557A92B" w14:textId="77777777" w:rsidR="00AC7260" w:rsidRDefault="00AC7260" w:rsidP="00AC7260">
      <w:pPr>
        <w:pStyle w:val="indent"/>
        <w:spacing w:before="0" w:beforeAutospacing="0" w:after="0" w:afterAutospacing="0"/>
        <w:ind w:firstLine="360"/>
        <w:jc w:val="both"/>
        <w:rPr>
          <w:color w:val="000000"/>
        </w:rPr>
      </w:pPr>
      <w:r>
        <w:rPr>
          <w:color w:val="000000"/>
        </w:rPr>
        <w:t>The Supreme Court reversed both convictions. The Court noted that warrantless searches incident to arrest are justified to ensure the safety of the arresting officer and protect against the destruction of evidence, but that such warrantless searches do not extend to the contents of cell phones. Cell phones, by their nature, do not pose a danger to the arresting officer, and the act of confiscating the phone prevents the destruction of any evidence contained in the phone, and there is therefore no need to examine the</w:t>
      </w:r>
      <w:r>
        <w:rPr>
          <w:rStyle w:val="apple-converted-space"/>
          <w:color w:val="000000"/>
        </w:rPr>
        <w:t> </w:t>
      </w:r>
      <w:r>
        <w:rPr>
          <w:color w:val="000000"/>
        </w:rPr>
        <w:t xml:space="preserve">contents of the phone. The Court acknowledged the wealth of personal information contained in a modern cell phone. The Court affirmed that the Fourth Amendment was constructed </w:t>
      </w:r>
      <w:proofErr w:type="gramStart"/>
      <w:r>
        <w:rPr>
          <w:color w:val="000000"/>
        </w:rPr>
        <w:t>in order to</w:t>
      </w:r>
      <w:proofErr w:type="gramEnd"/>
      <w:r>
        <w:rPr>
          <w:color w:val="000000"/>
        </w:rPr>
        <w:t xml:space="preserve"> prevent the government from arbitrarily intruding on this type of personal information.</w:t>
      </w:r>
    </w:p>
    <w:p w14:paraId="2F01951D" w14:textId="77777777" w:rsidR="00AC7260" w:rsidRDefault="00AC7260" w:rsidP="00AC7260">
      <w:pPr>
        <w:pStyle w:val="Heading3"/>
        <w:spacing w:before="240" w:after="120"/>
        <w:rPr>
          <w:color w:val="000000"/>
          <w:sz w:val="29"/>
          <w:szCs w:val="29"/>
        </w:rPr>
      </w:pPr>
      <w:hyperlink r:id="rId142" w:anchor="toc-ch7-36" w:history="1">
        <w:r>
          <w:rPr>
            <w:rStyle w:val="Hyperlink"/>
            <w:color w:val="000000"/>
            <w:sz w:val="29"/>
            <w:szCs w:val="29"/>
            <w:u w:val="none"/>
          </w:rPr>
          <w:t>Government Seizure of E-mails</w:t>
        </w:r>
      </w:hyperlink>
    </w:p>
    <w:p w14:paraId="6AC23FBE" w14:textId="77777777" w:rsidR="00AC7260" w:rsidRDefault="00AC7260" w:rsidP="00AC7260">
      <w:pPr>
        <w:pStyle w:val="noindent"/>
        <w:spacing w:before="0" w:beforeAutospacing="0" w:after="0" w:afterAutospacing="0"/>
        <w:jc w:val="both"/>
        <w:rPr>
          <w:color w:val="000000"/>
        </w:rPr>
      </w:pPr>
      <w:r>
        <w:rPr>
          <w:color w:val="000000"/>
        </w:rPr>
        <w:t>No Court decision has thus far addressed the specific issue of government seizure of e-mails. A 2007 decision of the federal Court of Appeals for the Sixth Circuit, however, is informative on this issue. The court of appeals upheld, with modification, a district court order prohibiting the government from seizing e-mails from an Internet service provider (ISP) account of a resident of the Southern District of Ohio without notice to the account holder and an opportunity for a hearing (</w:t>
      </w:r>
      <w:proofErr w:type="spellStart"/>
      <w:r>
        <w:rPr>
          <w:rStyle w:val="Emphasis"/>
          <w:color w:val="000000"/>
        </w:rPr>
        <w:t>Warshak</w:t>
      </w:r>
      <w:proofErr w:type="spellEnd"/>
      <w:r>
        <w:rPr>
          <w:rStyle w:val="Emphasis"/>
          <w:color w:val="000000"/>
        </w:rPr>
        <w:t xml:space="preserve"> v. United States</w:t>
      </w:r>
      <w:r>
        <w:rPr>
          <w:rStyle w:val="apple-converted-space"/>
          <w:color w:val="000000"/>
        </w:rPr>
        <w:t> </w:t>
      </w:r>
      <w:r>
        <w:rPr>
          <w:color w:val="000000"/>
        </w:rPr>
        <w:t>[6th Cir. 2007]).</w:t>
      </w:r>
    </w:p>
    <w:p w14:paraId="39143D6E" w14:textId="77777777" w:rsidR="00AC7260" w:rsidRDefault="00AC7260" w:rsidP="00AC7260">
      <w:pPr>
        <w:pStyle w:val="noindent"/>
        <w:spacing w:before="0" w:beforeAutospacing="0" w:after="0" w:afterAutospacing="0"/>
        <w:jc w:val="both"/>
        <w:rPr>
          <w:color w:val="000000"/>
          <w:sz w:val="20"/>
          <w:szCs w:val="20"/>
        </w:rPr>
      </w:pPr>
      <w:proofErr w:type="spellStart"/>
      <w:r>
        <w:rPr>
          <w:rStyle w:val="Emphasis"/>
          <w:color w:val="000000"/>
          <w:sz w:val="20"/>
          <w:szCs w:val="20"/>
        </w:rPr>
        <w:t>Warshak</w:t>
      </w:r>
      <w:proofErr w:type="spellEnd"/>
      <w:r>
        <w:rPr>
          <w:rStyle w:val="Emphasis"/>
          <w:color w:val="000000"/>
          <w:sz w:val="20"/>
          <w:szCs w:val="20"/>
        </w:rPr>
        <w:t xml:space="preserve"> v. United States</w:t>
      </w:r>
      <w:r>
        <w:rPr>
          <w:rStyle w:val="apple-converted-space"/>
          <w:color w:val="000000"/>
          <w:sz w:val="20"/>
          <w:szCs w:val="20"/>
        </w:rPr>
        <w:t> </w:t>
      </w:r>
      <w:r>
        <w:rPr>
          <w:color w:val="000000"/>
          <w:sz w:val="20"/>
          <w:szCs w:val="20"/>
        </w:rPr>
        <w:t>(2007)</w:t>
      </w:r>
    </w:p>
    <w:p w14:paraId="588583E5" w14:textId="77777777" w:rsidR="00AC7260" w:rsidRDefault="00AC7260" w:rsidP="00AC7260">
      <w:pPr>
        <w:pStyle w:val="indent"/>
        <w:spacing w:before="0" w:beforeAutospacing="0" w:after="0" w:afterAutospacing="0"/>
        <w:ind w:firstLine="360"/>
        <w:jc w:val="both"/>
        <w:rPr>
          <w:color w:val="000000"/>
        </w:rPr>
      </w:pPr>
      <w:r>
        <w:rPr>
          <w:color w:val="000000"/>
        </w:rPr>
        <w:t>In</w:t>
      </w:r>
      <w:r>
        <w:rPr>
          <w:rStyle w:val="apple-converted-space"/>
          <w:color w:val="000000"/>
        </w:rPr>
        <w:t> </w:t>
      </w:r>
      <w:proofErr w:type="spellStart"/>
      <w:r>
        <w:rPr>
          <w:rStyle w:val="Emphasis"/>
          <w:color w:val="000000"/>
        </w:rPr>
        <w:t>Warshak</w:t>
      </w:r>
      <w:proofErr w:type="spellEnd"/>
      <w:r>
        <w:rPr>
          <w:color w:val="000000"/>
        </w:rPr>
        <w:t xml:space="preserve">, federal government agents investigated Steven </w:t>
      </w:r>
      <w:proofErr w:type="spellStart"/>
      <w:r>
        <w:rPr>
          <w:color w:val="000000"/>
        </w:rPr>
        <w:t>Warshak</w:t>
      </w:r>
      <w:proofErr w:type="spellEnd"/>
      <w:r>
        <w:rPr>
          <w:color w:val="000000"/>
        </w:rPr>
        <w:t xml:space="preserve"> and the company he owned for possible mail and wire fraud, money laundering, and other federal offenses. The government agents obtained an order from a U.S. magistrate judge directing the ISP to turn over to government </w:t>
      </w:r>
      <w:proofErr w:type="gramStart"/>
      <w:r>
        <w:rPr>
          <w:color w:val="000000"/>
        </w:rPr>
        <w:t>agents</w:t>
      </w:r>
      <w:proofErr w:type="gramEnd"/>
      <w:r>
        <w:rPr>
          <w:color w:val="000000"/>
        </w:rPr>
        <w:t xml:space="preserve"> information related to </w:t>
      </w:r>
      <w:proofErr w:type="spellStart"/>
      <w:r>
        <w:rPr>
          <w:color w:val="000000"/>
        </w:rPr>
        <w:t>Warshak's</w:t>
      </w:r>
      <w:proofErr w:type="spellEnd"/>
      <w:r>
        <w:rPr>
          <w:color w:val="000000"/>
        </w:rPr>
        <w:t xml:space="preserve"> e-mail account with the Internet service provider. This was done without any type of hearing or prior notification. The issuance of the order was based on the provisions of the Stored Communications Act (SCA), which was passed in 1986 and codified as a federal statute (18 U.S.C., § 2701). These provisions relate to the accessibility of “stored wire and electronic communications and transactional records.” The government later appealed a district court's preliminary injunction limiting the government's access to the defendant's e-mail. Rejecting the government's claim to broad access, the court of appeals said:</w:t>
      </w:r>
    </w:p>
    <w:p w14:paraId="1521C75A" w14:textId="77777777" w:rsidR="00AC7260" w:rsidRDefault="00AC7260" w:rsidP="00AC7260">
      <w:pPr>
        <w:pStyle w:val="noindent"/>
        <w:spacing w:before="0" w:beforeAutospacing="0" w:after="0" w:afterAutospacing="0"/>
        <w:jc w:val="both"/>
        <w:rPr>
          <w:color w:val="000000"/>
          <w:sz w:val="22"/>
          <w:szCs w:val="22"/>
        </w:rPr>
      </w:pPr>
      <w:r>
        <w:rPr>
          <w:color w:val="000000"/>
          <w:sz w:val="22"/>
          <w:szCs w:val="22"/>
        </w:rPr>
        <w:t xml:space="preserve">[W]e </w:t>
      </w:r>
      <w:proofErr w:type="gramStart"/>
      <w:r>
        <w:rPr>
          <w:color w:val="000000"/>
          <w:sz w:val="22"/>
          <w:szCs w:val="22"/>
        </w:rPr>
        <w:t>have</w:t>
      </w:r>
      <w:proofErr w:type="gramEnd"/>
      <w:r>
        <w:rPr>
          <w:color w:val="000000"/>
          <w:sz w:val="22"/>
          <w:szCs w:val="22"/>
        </w:rPr>
        <w:t xml:space="preserve"> little difficulty agreeing with the district court that individuals maintain a reasonable expectation of privacy in e-mails that are stored with, or sent or received through, a commercial ISP. The content of e-</w:t>
      </w:r>
      <w:r>
        <w:rPr>
          <w:color w:val="000000"/>
          <w:sz w:val="22"/>
          <w:szCs w:val="22"/>
        </w:rPr>
        <w:lastRenderedPageBreak/>
        <w:t>mail is something that the user “seeks to preserve as private,” and therefore may be constitutionally protected.</w:t>
      </w:r>
    </w:p>
    <w:p w14:paraId="4BE99565" w14:textId="77777777" w:rsidR="00AC7260" w:rsidRDefault="00AC7260" w:rsidP="00AC7260"/>
    <w:p w14:paraId="783A5CCF" w14:textId="77777777" w:rsidR="00AC7260" w:rsidRDefault="00AC7260" w:rsidP="00AC7260">
      <w:pPr>
        <w:pStyle w:val="noindent"/>
        <w:spacing w:before="0" w:beforeAutospacing="0" w:after="0" w:afterAutospacing="0"/>
        <w:jc w:val="both"/>
        <w:rPr>
          <w:color w:val="000000"/>
        </w:rPr>
      </w:pPr>
      <w:r>
        <w:rPr>
          <w:color w:val="000000"/>
        </w:rPr>
        <w:t>In sum, the federal Court of Appeals for the Sixth Circuit held in</w:t>
      </w:r>
      <w:r>
        <w:rPr>
          <w:rStyle w:val="apple-converted-space"/>
          <w:color w:val="000000"/>
        </w:rPr>
        <w:t> </w:t>
      </w:r>
      <w:proofErr w:type="spellStart"/>
      <w:r>
        <w:rPr>
          <w:rStyle w:val="Emphasis"/>
          <w:color w:val="000000"/>
        </w:rPr>
        <w:t>Warshak</w:t>
      </w:r>
      <w:proofErr w:type="spellEnd"/>
      <w:r>
        <w:rPr>
          <w:rStyle w:val="apple-converted-space"/>
          <w:color w:val="000000"/>
        </w:rPr>
        <w:t> </w:t>
      </w:r>
      <w:r>
        <w:rPr>
          <w:color w:val="000000"/>
        </w:rPr>
        <w:t>that an e-mail holder or subscriber must be given prior notice and an opportunity to be heard before seizure, or the government must show that the account holder maintained no expectation of privacy and therefore enjoys no Fourth Amendment protection.</w:t>
      </w:r>
    </w:p>
    <w:p w14:paraId="72075DC5" w14:textId="77777777" w:rsidR="00AC7260" w:rsidRDefault="00AC7260" w:rsidP="00AC7260">
      <w:pPr>
        <w:pStyle w:val="indent"/>
        <w:spacing w:before="0" w:beforeAutospacing="0" w:after="0" w:afterAutospacing="0"/>
        <w:ind w:firstLine="360"/>
        <w:jc w:val="both"/>
        <w:rPr>
          <w:color w:val="000000"/>
        </w:rPr>
      </w:pPr>
      <w:r>
        <w:rPr>
          <w:color w:val="000000"/>
        </w:rPr>
        <w:t>In an era of pervasive use of e-mails by the government and private sectors, the issue of law enforcement searches and seizures of e-mails for investigative purposes will ultimately have to be resolved by the Court.</w:t>
      </w:r>
    </w:p>
    <w:p w14:paraId="1FA5300D" w14:textId="77777777" w:rsidR="00AC7260" w:rsidRDefault="00AC7260" w:rsidP="00AC7260">
      <w:pPr>
        <w:pStyle w:val="Heading3"/>
        <w:spacing w:before="240" w:after="120"/>
        <w:rPr>
          <w:color w:val="000000"/>
          <w:sz w:val="29"/>
          <w:szCs w:val="29"/>
        </w:rPr>
      </w:pPr>
      <w:hyperlink r:id="rId143" w:anchor="toc-ch7-37" w:history="1">
        <w:r>
          <w:rPr>
            <w:rStyle w:val="Hyperlink"/>
            <w:color w:val="000000"/>
            <w:sz w:val="29"/>
            <w:szCs w:val="29"/>
          </w:rPr>
          <w:t>Drug Testing Public Employees, Including Police Officers</w:t>
        </w:r>
      </w:hyperlink>
    </w:p>
    <w:p w14:paraId="1F312257" w14:textId="77777777" w:rsidR="00AC7260" w:rsidRDefault="00AC7260" w:rsidP="00AC7260">
      <w:pPr>
        <w:pStyle w:val="noindent"/>
        <w:spacing w:before="0" w:beforeAutospacing="0" w:after="0" w:afterAutospacing="0"/>
        <w:jc w:val="both"/>
        <w:rPr>
          <w:color w:val="000000"/>
        </w:rPr>
      </w:pPr>
      <w:r>
        <w:rPr>
          <w:color w:val="000000"/>
        </w:rPr>
        <w:t>Drug testing public employees, including police officers and other law enforcement personnel, is a common practice and needs to be addressed as an issue. Is it an allowable form of Fourth Amendment search and seizure? The Court has not directly addressed the constitutionality of drug testing police officers, but in 1989 it decided two cases on the issue of drug testing public employees. Neither decision, however, provides definite answers for police officers because they were based on the peculiar facts in those cases.</w:t>
      </w:r>
    </w:p>
    <w:p w14:paraId="3AFF1F40" w14:textId="77777777" w:rsidR="00AC7260" w:rsidRDefault="00AC7260" w:rsidP="00AC7260">
      <w:pPr>
        <w:pStyle w:val="indent"/>
        <w:spacing w:before="0" w:beforeAutospacing="0" w:after="0" w:afterAutospacing="0"/>
        <w:ind w:firstLine="360"/>
        <w:jc w:val="both"/>
        <w:rPr>
          <w:color w:val="000000"/>
        </w:rPr>
      </w:pPr>
      <w:r>
        <w:rPr>
          <w:color w:val="000000"/>
        </w:rPr>
        <w:t>In the first case, the Court, in a 5-to-4 split, held that the U.S. Customs Service's drug-testing program for employees seeking promotion or transfer to positions</w:t>
      </w:r>
      <w:r>
        <w:rPr>
          <w:rStyle w:val="apple-converted-space"/>
          <w:color w:val="000000"/>
        </w:rPr>
        <w:t> </w:t>
      </w:r>
      <w:r>
        <w:rPr>
          <w:color w:val="000000"/>
        </w:rPr>
        <w:t>involving interdiction of illegal drugs or requiring the carrying of firearms constitutes a search within the meaning of the Fourth Amendment. That search was deemed by the Court to be constitutional because of the government's compelling interest in public safety and in safeguarding borders, and because of the diminished privacy of employees who seek such positions (</w:t>
      </w:r>
      <w:r>
        <w:rPr>
          <w:rStyle w:val="Emphasis"/>
          <w:color w:val="000000"/>
        </w:rPr>
        <w:t xml:space="preserve">National Treasury Employees Union v. Von </w:t>
      </w:r>
      <w:proofErr w:type="spellStart"/>
      <w:r>
        <w:rPr>
          <w:rStyle w:val="Emphasis"/>
          <w:color w:val="000000"/>
        </w:rPr>
        <w:t>Raab</w:t>
      </w:r>
      <w:proofErr w:type="spellEnd"/>
      <w:r>
        <w:rPr>
          <w:color w:val="000000"/>
        </w:rPr>
        <w:t>, 489 U.S. 656 [1989]).</w:t>
      </w:r>
    </w:p>
    <w:p w14:paraId="685EA434"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 xml:space="preserve">National Treasury Employees Union v. Von </w:t>
      </w:r>
      <w:proofErr w:type="spellStart"/>
      <w:r>
        <w:rPr>
          <w:rStyle w:val="Emphasis"/>
          <w:color w:val="000000"/>
          <w:sz w:val="20"/>
          <w:szCs w:val="20"/>
        </w:rPr>
        <w:t>Raab</w:t>
      </w:r>
      <w:proofErr w:type="spellEnd"/>
      <w:r>
        <w:rPr>
          <w:rStyle w:val="apple-converted-space"/>
          <w:color w:val="000000"/>
          <w:sz w:val="20"/>
          <w:szCs w:val="20"/>
        </w:rPr>
        <w:t> </w:t>
      </w:r>
      <w:r>
        <w:rPr>
          <w:color w:val="000000"/>
          <w:sz w:val="20"/>
          <w:szCs w:val="20"/>
        </w:rPr>
        <w:t>(1989)</w:t>
      </w:r>
    </w:p>
    <w:p w14:paraId="11CE4373" w14:textId="77777777" w:rsidR="00AC7260" w:rsidRDefault="00AC7260" w:rsidP="00AC7260">
      <w:pPr>
        <w:pStyle w:val="indent"/>
        <w:spacing w:before="0" w:beforeAutospacing="0" w:after="0" w:afterAutospacing="0"/>
        <w:ind w:firstLine="360"/>
        <w:jc w:val="both"/>
        <w:rPr>
          <w:color w:val="000000"/>
        </w:rPr>
      </w:pPr>
      <w:r>
        <w:rPr>
          <w:color w:val="000000"/>
        </w:rPr>
        <w:t>The second case involved drug testing private railroad employees in accordance with Federal Railroad Administration regulations. The regulations require private railroads (under government regulation) to administer blood and urine tests to railroad employees involved in train accidents and fatal accidents. Railroads are also authorized to administer breath and urine tests following certain other accidents. The Court held that this constituted a search under the Fourth Amendment (</w:t>
      </w:r>
      <w:r>
        <w:rPr>
          <w:rStyle w:val="Emphasis"/>
          <w:color w:val="000000"/>
        </w:rPr>
        <w:t xml:space="preserve">Skinner v. Railway Labor </w:t>
      </w:r>
      <w:proofErr w:type="spellStart"/>
      <w:r>
        <w:rPr>
          <w:rStyle w:val="Emphasis"/>
          <w:color w:val="000000"/>
        </w:rPr>
        <w:t>Executives</w:t>
      </w:r>
      <w:proofErr w:type="spellEnd"/>
      <w:r>
        <w:rPr>
          <w:rStyle w:val="Emphasis"/>
          <w:color w:val="000000"/>
        </w:rPr>
        <w:t xml:space="preserve"> Association</w:t>
      </w:r>
      <w:r>
        <w:rPr>
          <w:color w:val="000000"/>
        </w:rPr>
        <w:t xml:space="preserve">, 489 U.S. 602 [1989]). Again, the Court considered the search to be </w:t>
      </w:r>
      <w:proofErr w:type="gramStart"/>
      <w:r>
        <w:rPr>
          <w:color w:val="000000"/>
        </w:rPr>
        <w:t>constitutional, because</w:t>
      </w:r>
      <w:proofErr w:type="gramEnd"/>
      <w:r>
        <w:rPr>
          <w:color w:val="000000"/>
        </w:rPr>
        <w:t xml:space="preserve"> there was a justification for it, namely, the safety-sensitive tasks of the employees. The nature of their task justified the departure from the usual search requirements of warrant and probable cause.</w:t>
      </w:r>
    </w:p>
    <w:p w14:paraId="30FE3D1D"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 xml:space="preserve">Skinner v. Railway Labor </w:t>
      </w:r>
      <w:proofErr w:type="spellStart"/>
      <w:r>
        <w:rPr>
          <w:rStyle w:val="Emphasis"/>
          <w:color w:val="000000"/>
          <w:sz w:val="20"/>
          <w:szCs w:val="20"/>
        </w:rPr>
        <w:t>Executives</w:t>
      </w:r>
      <w:proofErr w:type="spellEnd"/>
      <w:r>
        <w:rPr>
          <w:rStyle w:val="Emphasis"/>
          <w:color w:val="000000"/>
          <w:sz w:val="20"/>
          <w:szCs w:val="20"/>
        </w:rPr>
        <w:t xml:space="preserve"> Association</w:t>
      </w:r>
      <w:r>
        <w:rPr>
          <w:rStyle w:val="apple-converted-space"/>
          <w:color w:val="000000"/>
          <w:sz w:val="20"/>
          <w:szCs w:val="20"/>
        </w:rPr>
        <w:t> </w:t>
      </w:r>
      <w:r>
        <w:rPr>
          <w:color w:val="000000"/>
          <w:sz w:val="20"/>
          <w:szCs w:val="20"/>
        </w:rPr>
        <w:t>(1989)</w:t>
      </w:r>
    </w:p>
    <w:p w14:paraId="247B4D11" w14:textId="77777777" w:rsidR="00AC7260" w:rsidRDefault="00AC7260" w:rsidP="00AC7260">
      <w:pPr>
        <w:pStyle w:val="indent"/>
        <w:spacing w:before="0" w:beforeAutospacing="0" w:after="0" w:afterAutospacing="0"/>
        <w:ind w:firstLine="360"/>
        <w:jc w:val="both"/>
        <w:rPr>
          <w:color w:val="000000"/>
        </w:rPr>
      </w:pPr>
      <w:r>
        <w:rPr>
          <w:color w:val="000000"/>
        </w:rPr>
        <w:t>The</w:t>
      </w:r>
      <w:r>
        <w:rPr>
          <w:rStyle w:val="apple-converted-space"/>
          <w:color w:val="000000"/>
        </w:rPr>
        <w:t> </w:t>
      </w:r>
      <w:r>
        <w:rPr>
          <w:rStyle w:val="Emphasis"/>
          <w:color w:val="000000"/>
        </w:rPr>
        <w:t xml:space="preserve">Von </w:t>
      </w:r>
      <w:proofErr w:type="spellStart"/>
      <w:r>
        <w:rPr>
          <w:rStyle w:val="Emphasis"/>
          <w:color w:val="000000"/>
        </w:rPr>
        <w:t>Raab</w:t>
      </w:r>
      <w:proofErr w:type="spellEnd"/>
      <w:r>
        <w:rPr>
          <w:rStyle w:val="apple-converted-space"/>
          <w:color w:val="000000"/>
        </w:rPr>
        <w:t> </w:t>
      </w:r>
      <w:r>
        <w:rPr>
          <w:color w:val="000000"/>
        </w:rPr>
        <w:t>and</w:t>
      </w:r>
      <w:r>
        <w:rPr>
          <w:rStyle w:val="apple-converted-space"/>
          <w:color w:val="000000"/>
        </w:rPr>
        <w:t> </w:t>
      </w:r>
      <w:r>
        <w:rPr>
          <w:rStyle w:val="Emphasis"/>
          <w:color w:val="000000"/>
        </w:rPr>
        <w:t>Skinner</w:t>
      </w:r>
      <w:r>
        <w:rPr>
          <w:rStyle w:val="apple-converted-space"/>
          <w:color w:val="000000"/>
        </w:rPr>
        <w:t> </w:t>
      </w:r>
      <w:r>
        <w:rPr>
          <w:color w:val="000000"/>
        </w:rPr>
        <w:t>cases hold that warrantless drug testing programs of public employees (or of private employees subject to government regulation) are reasonable and do not in themselves violate Fourth Amendment rights. There are strong grounds to believe that the same tests also apply to police officers, because they carry firearms and are responsible for enforcing the law and maintaining public order. It should be noted that both these cases involved mandatory testing, not testing at random. Whether or not completely random mandatory drug testing of police officers is constitutional has not been specifically resolved by the Court.</w:t>
      </w:r>
    </w:p>
    <w:p w14:paraId="29483C40" w14:textId="77777777" w:rsidR="00AC7260" w:rsidRDefault="00AC7260" w:rsidP="00AC7260">
      <w:pPr>
        <w:pStyle w:val="indent"/>
        <w:spacing w:before="0" w:beforeAutospacing="0" w:after="0" w:afterAutospacing="0"/>
        <w:ind w:firstLine="360"/>
        <w:jc w:val="both"/>
        <w:rPr>
          <w:color w:val="000000"/>
        </w:rPr>
      </w:pPr>
      <w:r>
        <w:rPr>
          <w:color w:val="000000"/>
        </w:rPr>
        <w:t xml:space="preserve">A purely random type of testing in which employees are required to give urine or other forms of sample at any time for drug tests has been declared by most lower courts to be unconstitutional because it can be arbitrary and subject to abuse. On the other hand, systematic testing has been </w:t>
      </w:r>
      <w:r>
        <w:rPr>
          <w:color w:val="000000"/>
        </w:rPr>
        <w:lastRenderedPageBreak/>
        <w:t>held by courts to be constitutional. This form of testing provides that employees can be tested based on a systematic process of random selection, such as a lottery of names, numbers, or positions. Court decisions have also upheld drug testing of employees during annual physical examinations or when they seek promotion to higher or more sensitive positions.</w:t>
      </w:r>
    </w:p>
    <w:p w14:paraId="533C2A22" w14:textId="77777777" w:rsidR="00AC7260" w:rsidRDefault="00AC7260" w:rsidP="00AC7260">
      <w:pPr>
        <w:pStyle w:val="indent"/>
        <w:spacing w:before="0" w:beforeAutospacing="0" w:after="0" w:afterAutospacing="0"/>
        <w:ind w:firstLine="360"/>
        <w:jc w:val="both"/>
        <w:rPr>
          <w:color w:val="000000"/>
        </w:rPr>
      </w:pPr>
      <w:r>
        <w:rPr>
          <w:color w:val="000000"/>
        </w:rPr>
        <w:t>Drug testing public employees based on reasonable suspicion that they are using drugs (as distinguished from purely arbitrary drug testing) has been upheld by most lower courts because it is justified by a degree of certainty. Unless the Court addresses the specific issue of police drug testing, the safer policy is to test based on reasonable suspicion.</w:t>
      </w:r>
    </w:p>
    <w:p w14:paraId="46292DBF" w14:textId="77777777" w:rsidR="00AC7260" w:rsidRDefault="00AC7260" w:rsidP="00AC7260">
      <w:pPr>
        <w:pStyle w:val="Heading3"/>
        <w:spacing w:before="240" w:after="120"/>
        <w:rPr>
          <w:color w:val="000000"/>
          <w:sz w:val="29"/>
          <w:szCs w:val="29"/>
        </w:rPr>
      </w:pPr>
      <w:hyperlink r:id="rId144" w:anchor="toc-ch7-38" w:history="1">
        <w:r>
          <w:rPr>
            <w:rStyle w:val="Hyperlink"/>
            <w:color w:val="000000"/>
            <w:sz w:val="29"/>
            <w:szCs w:val="29"/>
          </w:rPr>
          <w:t>Searches and Seizures of Public Employees Other Than Drug Testing</w:t>
        </w:r>
      </w:hyperlink>
    </w:p>
    <w:p w14:paraId="34CCD898" w14:textId="77777777" w:rsidR="00AC7260" w:rsidRDefault="00AC7260" w:rsidP="00AC7260">
      <w:pPr>
        <w:pStyle w:val="noindent"/>
        <w:spacing w:before="0" w:beforeAutospacing="0" w:after="0" w:afterAutospacing="0"/>
        <w:jc w:val="both"/>
        <w:rPr>
          <w:color w:val="000000"/>
        </w:rPr>
      </w:pPr>
      <w:r>
        <w:rPr>
          <w:color w:val="000000"/>
        </w:rPr>
        <w:t xml:space="preserve">The leading case on government searches of government </w:t>
      </w:r>
      <w:proofErr w:type="gramStart"/>
      <w:r>
        <w:rPr>
          <w:color w:val="000000"/>
        </w:rPr>
        <w:t>employees</w:t>
      </w:r>
      <w:proofErr w:type="gramEnd"/>
      <w:r>
        <w:rPr>
          <w:color w:val="000000"/>
        </w:rPr>
        <w:t xml:space="preserve"> offices is</w:t>
      </w:r>
      <w:r>
        <w:rPr>
          <w:rStyle w:val="apple-converted-space"/>
          <w:color w:val="000000"/>
        </w:rPr>
        <w:t> </w:t>
      </w:r>
      <w:r>
        <w:rPr>
          <w:rStyle w:val="Emphasis"/>
          <w:color w:val="000000"/>
        </w:rPr>
        <w:t>O'Connor v. Ortega</w:t>
      </w:r>
      <w:r>
        <w:rPr>
          <w:rStyle w:val="apple-converted-space"/>
          <w:color w:val="000000"/>
        </w:rPr>
        <w:t> </w:t>
      </w:r>
      <w:r>
        <w:rPr>
          <w:color w:val="000000"/>
        </w:rPr>
        <w:t>(480 U.S. 709 [1987]). In that case, the Court held that “the realities of the workplace” made certain types of privacy expectations among public employees unreasonable when the intrusion was by a supervisor rather than by law enforcement agents. The Court concluded that a warrant requirement would “seriously disrupt the routine conduct of business”; therefore, the standard of reasonableness, rather than probable cause or reasonable suspicion, was sufficient for work-related searches by public employers.</w:t>
      </w:r>
    </w:p>
    <w:p w14:paraId="6D3CEEAE" w14:textId="77777777" w:rsidR="00AC7260" w:rsidRDefault="00AC7260" w:rsidP="00AC7260">
      <w:pPr>
        <w:pStyle w:val="indent"/>
        <w:spacing w:before="0" w:beforeAutospacing="0" w:after="0" w:afterAutospacing="0"/>
        <w:ind w:firstLine="360"/>
        <w:jc w:val="both"/>
        <w:rPr>
          <w:color w:val="000000"/>
        </w:rPr>
      </w:pPr>
      <w:r>
        <w:rPr>
          <w:color w:val="000000"/>
        </w:rPr>
        <w:t>In this case, O'Connor was an administrator-psychiatrist in a state hospital. He was suspected of improprieties in administering the program. Suspicions consisted of improprieties in the acquisition of a computer, sexual harassment of a female hospital employee, and taking inappropriate disciplinary action against a resident physician who was under his supervision. While on administrative leave, and supposedly for inventory purposes, hospital officials searched his office and seized personal items from his desk and file cabinets. These were used in a subsequent administrative proceeding that resulted in his discharge. He then filed a civil liability lawsuit against the hospital officials, saying that he had a reasonable expectation of privacy in his office and that the search violated his Fourth Amendment right. On appeal, the Court held: (1) O'Connor, as an employee, had an expectation of privacy in his desk and file cabinets, but that (2) “requiring an employer to obtain a warrant whenever the employer wishes to enter an employee's office, desk, or file cabinet for a work-related purpose would seriously disrupt the routine conduct of business and would be unduly burdensome” and would come in the way of the government's need for “supervision, control, and the efficient operation of the workplace.”</w:t>
      </w:r>
    </w:p>
    <w:p w14:paraId="559D8D4F" w14:textId="77777777" w:rsidR="00AC7260" w:rsidRDefault="00AC7260" w:rsidP="00AC7260">
      <w:pPr>
        <w:pStyle w:val="indent"/>
        <w:spacing w:before="0" w:beforeAutospacing="0" w:after="0" w:afterAutospacing="0"/>
        <w:ind w:firstLine="360"/>
        <w:jc w:val="both"/>
        <w:rPr>
          <w:color w:val="000000"/>
        </w:rPr>
      </w:pPr>
      <w:r>
        <w:rPr>
          <w:color w:val="000000"/>
        </w:rPr>
        <w:t>In a more recent case, the Court held that the warrantless search of a police officer's electronic message was not a violation of his constitutional rights. Citing</w:t>
      </w:r>
      <w:r>
        <w:rPr>
          <w:rStyle w:val="apple-converted-space"/>
          <w:color w:val="000000"/>
        </w:rPr>
        <w:t> </w:t>
      </w:r>
      <w:r>
        <w:rPr>
          <w:rStyle w:val="Emphasis"/>
          <w:color w:val="000000"/>
        </w:rPr>
        <w:t>O'Connor v. Ortega</w:t>
      </w:r>
      <w:r>
        <w:rPr>
          <w:color w:val="000000"/>
        </w:rPr>
        <w:t>, the Court held that “a warrantless search to investigate work-related misconduct of a government employee is reasonable if it is justified at its inception and is reasonably work-related” (</w:t>
      </w:r>
      <w:r>
        <w:rPr>
          <w:rStyle w:val="Emphasis"/>
          <w:color w:val="000000"/>
        </w:rPr>
        <w:t xml:space="preserve">City of Ontario v. </w:t>
      </w:r>
      <w:proofErr w:type="spellStart"/>
      <w:r>
        <w:rPr>
          <w:rStyle w:val="Emphasis"/>
          <w:color w:val="000000"/>
        </w:rPr>
        <w:t>Quon</w:t>
      </w:r>
      <w:proofErr w:type="spellEnd"/>
      <w:r>
        <w:rPr>
          <w:color w:val="000000"/>
        </w:rPr>
        <w:t xml:space="preserve">, 560 U.S. — [2010]). This case involved a member of the SWAT team of the Ontario, California Police Department. The department had a policy that employees did not have an expectation of privacy and could be subjected to monitoring without notice as to their computer, Internet, and e-mail use. There was no specific policy about text messages, but employees were told that the department would treat text messages like it would e-mails. </w:t>
      </w:r>
      <w:proofErr w:type="spellStart"/>
      <w:r>
        <w:rPr>
          <w:color w:val="000000"/>
        </w:rPr>
        <w:t>Quon</w:t>
      </w:r>
      <w:proofErr w:type="spellEnd"/>
      <w:r>
        <w:rPr>
          <w:color w:val="000000"/>
        </w:rPr>
        <w:t xml:space="preserve"> was investigated and later disciplined for improper use of the electronic equipment entrusted to him for use. He appealed, alleging a violation of his right against unreasonable searches and seizures. The Court held that the search was valid. The Court based its decision on the following assumptions: (1) employee </w:t>
      </w:r>
      <w:proofErr w:type="spellStart"/>
      <w:r>
        <w:rPr>
          <w:color w:val="000000"/>
        </w:rPr>
        <w:t>Quon</w:t>
      </w:r>
      <w:proofErr w:type="spellEnd"/>
      <w:r>
        <w:rPr>
          <w:color w:val="000000"/>
        </w:rPr>
        <w:t xml:space="preserve"> had a privacy right; (2) the review of his text messages constituted a search; and (3) intrusion into the electronic belongings of an employee is </w:t>
      </w:r>
      <w:proofErr w:type="gramStart"/>
      <w:r>
        <w:rPr>
          <w:color w:val="000000"/>
        </w:rPr>
        <w:t>similar to</w:t>
      </w:r>
      <w:proofErr w:type="gramEnd"/>
      <w:r>
        <w:rPr>
          <w:color w:val="000000"/>
        </w:rPr>
        <w:t xml:space="preserve"> a physical intrusion on an employee's office space. The Court concluded, however, that the search was valid because it was justified at </w:t>
      </w:r>
      <w:r>
        <w:rPr>
          <w:color w:val="000000"/>
        </w:rPr>
        <w:lastRenderedPageBreak/>
        <w:t>its inception and reasonably work related in scope. In sum, work-related searches by the government of public employees, police officers included, do not need a warrant or probable cause. They do retain a reasonable expectation of privacy, but all that is needed for a valid search is a work-related justification.</w:t>
      </w:r>
    </w:p>
    <w:p w14:paraId="1842F288" w14:textId="77777777" w:rsidR="00AC7260" w:rsidRDefault="00AC7260" w:rsidP="00AC7260">
      <w:pPr>
        <w:pStyle w:val="noindent"/>
        <w:spacing w:before="0" w:beforeAutospacing="0" w:after="0" w:afterAutospacing="0"/>
        <w:jc w:val="both"/>
        <w:rPr>
          <w:color w:val="000000"/>
          <w:sz w:val="20"/>
          <w:szCs w:val="20"/>
        </w:rPr>
      </w:pPr>
      <w:r>
        <w:rPr>
          <w:rStyle w:val="Emphasis"/>
          <w:color w:val="000000"/>
          <w:sz w:val="20"/>
          <w:szCs w:val="20"/>
        </w:rPr>
        <w:t xml:space="preserve">City of Ontario v. </w:t>
      </w:r>
      <w:proofErr w:type="spellStart"/>
      <w:r>
        <w:rPr>
          <w:rStyle w:val="Emphasis"/>
          <w:color w:val="000000"/>
          <w:sz w:val="20"/>
          <w:szCs w:val="20"/>
        </w:rPr>
        <w:t>Quon</w:t>
      </w:r>
      <w:proofErr w:type="spellEnd"/>
      <w:r>
        <w:rPr>
          <w:rStyle w:val="apple-converted-space"/>
          <w:color w:val="000000"/>
          <w:sz w:val="20"/>
          <w:szCs w:val="20"/>
        </w:rPr>
        <w:t> </w:t>
      </w:r>
      <w:r>
        <w:rPr>
          <w:color w:val="000000"/>
          <w:sz w:val="20"/>
          <w:szCs w:val="20"/>
        </w:rPr>
        <w:t>(2010)</w:t>
      </w:r>
    </w:p>
    <w:p w14:paraId="5B5F1549" w14:textId="77777777" w:rsidR="00AC7260" w:rsidRDefault="00AC7260" w:rsidP="00AC7260">
      <w:pPr>
        <w:pStyle w:val="Heading3"/>
        <w:spacing w:before="240" w:after="120"/>
        <w:rPr>
          <w:color w:val="000000"/>
          <w:sz w:val="29"/>
          <w:szCs w:val="29"/>
        </w:rPr>
      </w:pPr>
      <w:hyperlink r:id="rId145" w:anchor="toc-ch7-39" w:history="1">
        <w:r>
          <w:rPr>
            <w:rStyle w:val="Hyperlink"/>
            <w:color w:val="000000"/>
            <w:sz w:val="29"/>
            <w:szCs w:val="29"/>
          </w:rPr>
          <w:t>Squeezing Luggage in a Bus</w:t>
        </w:r>
      </w:hyperlink>
    </w:p>
    <w:p w14:paraId="69C06F1A" w14:textId="77777777" w:rsidR="00AC7260" w:rsidRDefault="00AC7260" w:rsidP="00AC7260">
      <w:pPr>
        <w:pStyle w:val="noindent"/>
        <w:spacing w:before="0" w:beforeAutospacing="0" w:after="0" w:afterAutospacing="0"/>
        <w:jc w:val="both"/>
        <w:rPr>
          <w:color w:val="000000"/>
        </w:rPr>
      </w:pPr>
      <w:r>
        <w:rPr>
          <w:color w:val="000000"/>
        </w:rPr>
        <w:t>A traveler's luggage is an “effect” and is protected by the Fourth Amendment. Therefore, officers may not physically manipulate (such as squeeze) the luggage to inspect it without a warrant or probable cause. In</w:t>
      </w:r>
      <w:r>
        <w:rPr>
          <w:rStyle w:val="apple-converted-space"/>
          <w:color w:val="000000"/>
        </w:rPr>
        <w:t> </w:t>
      </w:r>
      <w:r>
        <w:rPr>
          <w:rStyle w:val="Emphasis"/>
          <w:color w:val="000000"/>
        </w:rPr>
        <w:t>Bond v. United States</w:t>
      </w:r>
      <w:r>
        <w:rPr>
          <w:color w:val="000000"/>
        </w:rPr>
        <w:t>, 529 U.S. 334 (2000), Bond was riding on a Greyhound bus when a border patrol agent boarded the bus to check the immigration status of passengers. The agent went to the back of the bus. On the way back to the front, he squeezed a canvas bag above Bond's seat and felt that it contained a brick-like object. Bond admitted owning the bag and agreed to allow the agent to open it. The agent found methamphetamine. Bond later appealed his conviction, saying that the search by the officer violated his constitutional right.</w:t>
      </w:r>
    </w:p>
    <w:p w14:paraId="167333A1" w14:textId="77777777" w:rsidR="00AC7260" w:rsidRDefault="00AC7260" w:rsidP="00AC7260">
      <w:pPr>
        <w:pStyle w:val="indent"/>
        <w:spacing w:before="0" w:beforeAutospacing="0" w:after="0" w:afterAutospacing="0"/>
        <w:ind w:firstLine="360"/>
        <w:jc w:val="both"/>
        <w:rPr>
          <w:color w:val="000000"/>
        </w:rPr>
      </w:pPr>
      <w:r>
        <w:rPr>
          <w:color w:val="000000"/>
        </w:rPr>
        <w:t xml:space="preserve">The Court based its decision on the usual tests for searches and seizures: First, Bond had an expectation of privacy. He sought to preserve that privacy “by using an opaque bag and placing it directly above his seat.” Second, that expectation of privacy is “one that society is prepared to recognize as reasonable.” The Court concluded that “although there is expectation that the luggage will be handled by other passengers or bus employees, there is no expectation that the luggage will be physically manipulated in an exploratory manner,” which was what the police did. The Court further said that “a physically invasive inspection is more intrusive than a visual inspection; </w:t>
      </w:r>
      <w:proofErr w:type="gramStart"/>
      <w:r>
        <w:rPr>
          <w:color w:val="000000"/>
        </w:rPr>
        <w:t>therefore</w:t>
      </w:r>
      <w:proofErr w:type="gramEnd"/>
      <w:r>
        <w:rPr>
          <w:color w:val="000000"/>
        </w:rPr>
        <w:t xml:space="preserve"> the law enforcement officer's physical manipulation of the luggage violated the Fourth Amendment.”</w:t>
      </w:r>
    </w:p>
    <w:p w14:paraId="5C9072A4" w14:textId="77777777" w:rsidR="00AC7260" w:rsidRDefault="00AC7260" w:rsidP="00AC7260">
      <w:pPr>
        <w:pStyle w:val="Heading3"/>
        <w:spacing w:before="240" w:after="120"/>
        <w:rPr>
          <w:color w:val="000000"/>
          <w:sz w:val="29"/>
          <w:szCs w:val="29"/>
        </w:rPr>
      </w:pPr>
      <w:hyperlink r:id="rId146" w:anchor="toc-ch7-40" w:history="1">
        <w:r>
          <w:rPr>
            <w:rStyle w:val="Hyperlink"/>
            <w:color w:val="000000"/>
            <w:sz w:val="29"/>
            <w:szCs w:val="29"/>
          </w:rPr>
          <w:t>Searches and Seizures by Private Persons</w:t>
        </w:r>
      </w:hyperlink>
    </w:p>
    <w:p w14:paraId="2C8ADE89" w14:textId="77777777" w:rsidR="00AC7260" w:rsidRDefault="00AC7260" w:rsidP="00AC7260">
      <w:pPr>
        <w:pStyle w:val="noindent"/>
        <w:spacing w:before="0" w:beforeAutospacing="0" w:after="0" w:afterAutospacing="0"/>
        <w:jc w:val="both"/>
        <w:rPr>
          <w:color w:val="000000"/>
        </w:rPr>
      </w:pPr>
      <w:r>
        <w:rPr>
          <w:color w:val="000000"/>
        </w:rPr>
        <w:t>Searches and seizures by private persons do not come under Fourth Amendment protection, because the constitutional amendments apply only to acts of government agencies and officers. This is true even if the act by the private person is illegal.</w:t>
      </w:r>
    </w:p>
    <w:p w14:paraId="66880941" w14:textId="77777777" w:rsidR="00AC7260" w:rsidRDefault="00AC7260" w:rsidP="00AC7260">
      <w:pPr>
        <w:pStyle w:val="indent"/>
        <w:spacing w:before="0" w:beforeAutospacing="0" w:after="0" w:afterAutospacing="0"/>
        <w:ind w:firstLine="360"/>
        <w:jc w:val="both"/>
        <w:rPr>
          <w:color w:val="000000"/>
        </w:rPr>
      </w:pPr>
      <w:r>
        <w:rPr>
          <w:color w:val="000000"/>
        </w:rPr>
        <w:t xml:space="preserve">Evidence obtained by private persons is admissible in court </w:t>
      </w:r>
      <w:proofErr w:type="gramStart"/>
      <w:r>
        <w:rPr>
          <w:color w:val="000000"/>
        </w:rPr>
        <w:t>as long as</w:t>
      </w:r>
      <w:proofErr w:type="gramEnd"/>
      <w:r>
        <w:rPr>
          <w:color w:val="000000"/>
        </w:rPr>
        <w:t xml:space="preserve"> they acted purely on their own and the police did not encourage or participate in the private search and seizure. For example, suppose Alex breaks into his neighbor's house because he suspects his neighbor of having stolen his TV. Alex recovers the set and now brings a case of robbery against his neighbor. The TV is admissible in evidence because the Fourth Amendment protection against unreasonable searches and seizures applies only to acts of government officers, not to private persons. However, Alex may be liable for breaking into and entering his neighbor's house in a separate criminal case.</w:t>
      </w:r>
    </w:p>
    <w:p w14:paraId="0BD7FA81" w14:textId="77777777" w:rsidR="00AC7260" w:rsidRDefault="00AC7260" w:rsidP="00AC7260">
      <w:pPr>
        <w:pStyle w:val="indent"/>
        <w:spacing w:before="0" w:beforeAutospacing="0" w:after="0" w:afterAutospacing="0"/>
        <w:ind w:firstLine="360"/>
        <w:jc w:val="both"/>
        <w:rPr>
          <w:color w:val="000000"/>
        </w:rPr>
      </w:pPr>
      <w:r>
        <w:rPr>
          <w:color w:val="000000"/>
        </w:rPr>
        <w:t>Note also that the evidence is not admissible if a police officer participated in, ordered, or encouraged Alex to make the search. If a government official helps in a search or seizure by a private citizen, then the Fourth Amendment protections apply. It is immaterial whether the government officer proposed the idea or merely joined in while the search was in progress. If he or she was involved in any way before the object of the search was completely accomplished, the law says the officer participated in it; the evidence secured is therefore inadmissible.</w:t>
      </w:r>
    </w:p>
    <w:p w14:paraId="77B1CBF3" w14:textId="77777777" w:rsidR="00AC7260" w:rsidRDefault="00AC7260" w:rsidP="00AC7260"/>
    <w:p w14:paraId="4B0A7A3F" w14:textId="77777777" w:rsidR="00AC7260" w:rsidRDefault="00AC7260" w:rsidP="00AC7260">
      <w:pPr>
        <w:pStyle w:val="Heading3"/>
        <w:spacing w:before="240" w:after="120"/>
        <w:rPr>
          <w:color w:val="000000"/>
          <w:sz w:val="29"/>
          <w:szCs w:val="29"/>
        </w:rPr>
      </w:pPr>
      <w:hyperlink r:id="rId147" w:anchor="toc-ch7-41" w:history="1">
        <w:r>
          <w:rPr>
            <w:rStyle w:val="Hyperlink"/>
            <w:color w:val="000000"/>
            <w:sz w:val="29"/>
            <w:szCs w:val="29"/>
            <w:u w:val="none"/>
          </w:rPr>
          <w:t>Searches by Off-Duty Officers</w:t>
        </w:r>
      </w:hyperlink>
    </w:p>
    <w:p w14:paraId="6C0096BB" w14:textId="77777777" w:rsidR="00AC7260" w:rsidRDefault="00AC7260" w:rsidP="00AC7260">
      <w:pPr>
        <w:pStyle w:val="noindent"/>
        <w:spacing w:before="0" w:beforeAutospacing="0" w:after="0" w:afterAutospacing="0"/>
        <w:jc w:val="both"/>
        <w:rPr>
          <w:color w:val="000000"/>
        </w:rPr>
      </w:pPr>
      <w:r>
        <w:rPr>
          <w:color w:val="000000"/>
        </w:rPr>
        <w:t xml:space="preserve">A search by an off-duty officer is usually considered a government search. Many jurisdictions consider police officers to be law enforcement officers twenty-four hours a day. If this were not the rule, it would be convenient for police officers to conduct searches while off-duty and therefore subvert the Fourth Amendment. Although this issue has not been litigated in court, the rule probably will be the same even in jurisdictions where police officers are </w:t>
      </w:r>
      <w:proofErr w:type="gramStart"/>
      <w:r>
        <w:rPr>
          <w:color w:val="000000"/>
        </w:rPr>
        <w:t>considered on duty at all times</w:t>
      </w:r>
      <w:proofErr w:type="gramEnd"/>
      <w:r>
        <w:rPr>
          <w:color w:val="000000"/>
        </w:rPr>
        <w:t>.</w:t>
      </w:r>
    </w:p>
    <w:p w14:paraId="6DA36796" w14:textId="77777777" w:rsidR="00AC7260" w:rsidRDefault="00AC7260" w:rsidP="00AC7260">
      <w:pPr>
        <w:pStyle w:val="Heading3"/>
        <w:spacing w:before="240" w:after="120"/>
        <w:rPr>
          <w:color w:val="000000"/>
          <w:sz w:val="29"/>
          <w:szCs w:val="29"/>
        </w:rPr>
      </w:pPr>
      <w:hyperlink r:id="rId148" w:anchor="toc-ch7-42" w:history="1">
        <w:r>
          <w:rPr>
            <w:rStyle w:val="Hyperlink"/>
            <w:color w:val="000000"/>
            <w:sz w:val="29"/>
            <w:szCs w:val="29"/>
            <w:u w:val="none"/>
          </w:rPr>
          <w:t>Surgery to Remove a Bullet from a Suspect</w:t>
        </w:r>
      </w:hyperlink>
    </w:p>
    <w:p w14:paraId="30C9D5D0" w14:textId="77777777" w:rsidR="00AC7260" w:rsidRDefault="00AC7260" w:rsidP="00AC7260">
      <w:pPr>
        <w:pStyle w:val="noindent"/>
        <w:spacing w:before="0" w:beforeAutospacing="0" w:after="0" w:afterAutospacing="0"/>
        <w:jc w:val="both"/>
        <w:rPr>
          <w:color w:val="000000"/>
        </w:rPr>
      </w:pPr>
      <w:r>
        <w:rPr>
          <w:color w:val="000000"/>
        </w:rPr>
        <w:t>In</w:t>
      </w:r>
      <w:r>
        <w:rPr>
          <w:rStyle w:val="apple-converted-space"/>
          <w:color w:val="000000"/>
        </w:rPr>
        <w:t> </w:t>
      </w:r>
      <w:r>
        <w:rPr>
          <w:rStyle w:val="Emphasis"/>
          <w:color w:val="000000"/>
        </w:rPr>
        <w:t>Winston v. Lee</w:t>
      </w:r>
      <w:r>
        <w:rPr>
          <w:color w:val="000000"/>
        </w:rPr>
        <w:t>, 470 U.S. 753 (1985), the Court held that a proposed surgery to remove a bullet from a suspect's chest for use as evidence would involve such severe intrusion on his interest in privacy and security that it would violate the Fourth Amendment and could not be allowed unless the government demonstrated a compelling need for it. The surgery could not be constitutionally undertaken, even though probable cause</w:t>
      </w:r>
      <w:r>
        <w:rPr>
          <w:rStyle w:val="apple-converted-space"/>
          <w:color w:val="000000"/>
        </w:rPr>
        <w:t> </w:t>
      </w:r>
      <w:proofErr w:type="gramStart"/>
      <w:r>
        <w:rPr>
          <w:color w:val="000000"/>
        </w:rPr>
        <w:t>existed</w:t>
      </w:r>
      <w:proofErr w:type="gramEnd"/>
      <w:r>
        <w:rPr>
          <w:color w:val="000000"/>
        </w:rPr>
        <w:t xml:space="preserve"> and the suspect was provided with all procedural safeguards, because the government failed to establish the compelling need for such surgery.</w:t>
      </w:r>
    </w:p>
    <w:p w14:paraId="4A1C4AD4" w14:textId="77777777" w:rsidR="00AC7260" w:rsidRDefault="00AC7260" w:rsidP="00AC7260">
      <w:pPr>
        <w:pStyle w:val="indent"/>
        <w:spacing w:before="0" w:beforeAutospacing="0" w:after="0" w:afterAutospacing="0"/>
        <w:ind w:firstLine="360"/>
        <w:jc w:val="both"/>
        <w:rPr>
          <w:color w:val="000000"/>
        </w:rPr>
      </w:pPr>
      <w:r>
        <w:rPr>
          <w:color w:val="000000"/>
        </w:rPr>
        <w:t>This decision is significant because in a previous case,</w:t>
      </w:r>
      <w:r>
        <w:rPr>
          <w:rStyle w:val="apple-converted-space"/>
          <w:color w:val="000000"/>
        </w:rPr>
        <w:t> </w:t>
      </w:r>
      <w:proofErr w:type="spellStart"/>
      <w:r>
        <w:rPr>
          <w:rStyle w:val="Emphasis"/>
          <w:color w:val="000000"/>
        </w:rPr>
        <w:t>Schmerber</w:t>
      </w:r>
      <w:proofErr w:type="spellEnd"/>
      <w:r>
        <w:rPr>
          <w:rStyle w:val="Emphasis"/>
          <w:color w:val="000000"/>
        </w:rPr>
        <w:t xml:space="preserve"> v. California</w:t>
      </w:r>
      <w:r>
        <w:rPr>
          <w:color w:val="000000"/>
        </w:rPr>
        <w:t>, 384 U.S. 757 (1966), the Court held that a state may, over the suspect's objections, have a physician extract blood if he or she is suspected of drunken driving, without violating his or her Fourth Amendment right not to be subjected to unreasonable searches and seizures. However, according to the</w:t>
      </w:r>
      <w:r>
        <w:rPr>
          <w:rStyle w:val="apple-converted-space"/>
          <w:color w:val="000000"/>
        </w:rPr>
        <w:t> </w:t>
      </w:r>
      <w:proofErr w:type="spellStart"/>
      <w:r>
        <w:rPr>
          <w:rStyle w:val="Emphasis"/>
          <w:color w:val="000000"/>
        </w:rPr>
        <w:t>Schmerber</w:t>
      </w:r>
      <w:proofErr w:type="spellEnd"/>
      <w:r>
        <w:rPr>
          <w:rStyle w:val="apple-converted-space"/>
          <w:color w:val="000000"/>
        </w:rPr>
        <w:t> </w:t>
      </w:r>
      <w:r>
        <w:rPr>
          <w:color w:val="000000"/>
        </w:rPr>
        <w:t>decision, the holding that the Constitution does not forbid a state's minor intrusions into an individual's body under stringently limited conditions in no way indicates that it permits more substantial intrusions or intrusions under other conditions.</w:t>
      </w:r>
    </w:p>
    <w:p w14:paraId="3A6F7EAF" w14:textId="77777777" w:rsidR="00AC7260" w:rsidRDefault="00AC7260" w:rsidP="00AC7260">
      <w:pPr>
        <w:pStyle w:val="indent"/>
        <w:spacing w:before="0" w:beforeAutospacing="0" w:after="0" w:afterAutospacing="0"/>
        <w:ind w:firstLine="360"/>
        <w:jc w:val="both"/>
        <w:rPr>
          <w:color w:val="000000"/>
        </w:rPr>
      </w:pPr>
      <w:r>
        <w:rPr>
          <w:color w:val="000000"/>
        </w:rPr>
        <w:t>In the</w:t>
      </w:r>
      <w:r>
        <w:rPr>
          <w:rStyle w:val="apple-converted-space"/>
          <w:color w:val="000000"/>
        </w:rPr>
        <w:t> </w:t>
      </w:r>
      <w:r>
        <w:rPr>
          <w:rStyle w:val="Emphasis"/>
          <w:color w:val="000000"/>
        </w:rPr>
        <w:t>Lee</w:t>
      </w:r>
      <w:r>
        <w:rPr>
          <w:rStyle w:val="apple-converted-space"/>
          <w:color w:val="000000"/>
        </w:rPr>
        <w:t> </w:t>
      </w:r>
      <w:r>
        <w:rPr>
          <w:color w:val="000000"/>
        </w:rPr>
        <w:t>case, the state of Virginia sought to compel Lee, a suspect in an attempted armed robbery who had allegedly been wounded by gunfire in that attempt, to undergo a surgical procedure under a general anesthetic for removal of the bullet lodged in his chest. Prosecutors alleged that the bullet would provide evidence of the suspect's guilt. Lee opposed the surgery. The Court concluded that the procedure was an example of the “more substantial intrusion” cautioned against in the</w:t>
      </w:r>
      <w:r>
        <w:rPr>
          <w:rStyle w:val="apple-converted-space"/>
          <w:color w:val="000000"/>
        </w:rPr>
        <w:t> </w:t>
      </w:r>
      <w:proofErr w:type="spellStart"/>
      <w:r>
        <w:rPr>
          <w:rStyle w:val="Emphasis"/>
          <w:color w:val="000000"/>
        </w:rPr>
        <w:t>Schmerber</w:t>
      </w:r>
      <w:proofErr w:type="spellEnd"/>
      <w:r>
        <w:rPr>
          <w:rStyle w:val="apple-converted-space"/>
          <w:color w:val="000000"/>
        </w:rPr>
        <w:t> </w:t>
      </w:r>
      <w:r>
        <w:rPr>
          <w:color w:val="000000"/>
        </w:rPr>
        <w:t>case and held that to permit the procedure to take place would violate the suspect's right to be secure in his person, as guaranteed by the Fourth Amendment.</w:t>
      </w:r>
    </w:p>
    <w:p w14:paraId="625BC6FB" w14:textId="77777777" w:rsidR="00AC7260" w:rsidRDefault="00AC7260" w:rsidP="00AC7260">
      <w:pPr>
        <w:pStyle w:val="indent"/>
        <w:spacing w:before="0" w:beforeAutospacing="0" w:after="0" w:afterAutospacing="0"/>
        <w:ind w:firstLine="360"/>
        <w:jc w:val="both"/>
        <w:rPr>
          <w:color w:val="000000"/>
        </w:rPr>
      </w:pPr>
      <w:r>
        <w:rPr>
          <w:color w:val="000000"/>
        </w:rPr>
        <w:t xml:space="preserve">The Court did not say that evidence retrievals of this nature could never be undertaken simply because they were per se intrusive. Instead, it used a balancing test, stating that “the medical risks of the operation, although apparently not extremely severe, are a subject of considerable dispute.” But the Court also said </w:t>
      </w:r>
      <w:proofErr w:type="gramStart"/>
      <w:r>
        <w:rPr>
          <w:color w:val="000000"/>
        </w:rPr>
        <w:t>that,</w:t>
      </w:r>
      <w:proofErr w:type="gramEnd"/>
      <w:r>
        <w:rPr>
          <w:color w:val="000000"/>
        </w:rPr>
        <w:t xml:space="preserve"> “although the bullet may turn out to be useful … in prosecuting respondent, the Commonwealth [of Virginia] failed to demonstrate a compelling need for it.”</w:t>
      </w:r>
    </w:p>
    <w:p w14:paraId="75ED68FE" w14:textId="77777777" w:rsidR="00AC7260" w:rsidRDefault="00AC7260" w:rsidP="00AC7260">
      <w:pPr>
        <w:pStyle w:val="indent"/>
        <w:spacing w:before="0" w:beforeAutospacing="0" w:after="0" w:afterAutospacing="0"/>
        <w:ind w:firstLine="360"/>
        <w:jc w:val="both"/>
        <w:rPr>
          <w:color w:val="000000"/>
        </w:rPr>
      </w:pPr>
      <w:r>
        <w:rPr>
          <w:color w:val="000000"/>
        </w:rPr>
        <w:t>This case appropriately ends this chapter because it reaffirms two important principles in search and seizure cases: (1) the more intrusive the search, the greater is the protection afforded by the Constitution, and (2) in highly intrusive searches, such as this one, the government must demonstrate a compelling need for the intrusion. Compelling need is a more difficult justification for the government to establish than just probable cause.</w:t>
      </w:r>
    </w:p>
    <w:p w14:paraId="2FE1C200" w14:textId="77777777" w:rsidR="00AC7260" w:rsidRDefault="00AC7260" w:rsidP="00AC7260">
      <w:pPr>
        <w:pStyle w:val="Heading2"/>
        <w:shd w:val="clear" w:color="auto" w:fill="DCDDDE"/>
        <w:spacing w:before="360" w:beforeAutospacing="0" w:after="120" w:afterAutospacing="0"/>
        <w:rPr>
          <w:color w:val="000000"/>
          <w:sz w:val="34"/>
          <w:szCs w:val="34"/>
        </w:rPr>
      </w:pPr>
      <w:r>
        <w:rPr>
          <w:color w:val="000000"/>
          <w:sz w:val="34"/>
          <w:szCs w:val="34"/>
        </w:rPr>
        <w:t>SUMMARY</w:t>
      </w:r>
    </w:p>
    <w:p w14:paraId="02DC38DE"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The Fourth Amendment and the right to privacy are the two constitutional rights limiting the powers of the police in search and seizure cases.</w:t>
      </w:r>
    </w:p>
    <w:p w14:paraId="557E5F55" w14:textId="77777777" w:rsidR="00AC7260" w:rsidRDefault="00AC7260" w:rsidP="00AC7260">
      <w:pPr>
        <w:pStyle w:val="paralist1"/>
        <w:spacing w:before="0" w:beforeAutospacing="0" w:after="0" w:afterAutospacing="0"/>
        <w:jc w:val="both"/>
        <w:rPr>
          <w:color w:val="000000"/>
        </w:rPr>
      </w:pPr>
      <w:r>
        <w:rPr>
          <w:rStyle w:val="label"/>
          <w:color w:val="000000"/>
        </w:rPr>
        <w:lastRenderedPageBreak/>
        <w:t>♦</w:t>
      </w:r>
      <w:r>
        <w:rPr>
          <w:color w:val="000000"/>
        </w:rPr>
        <w:t>A reasonable expectation of privacy exists when these two requirements are present: (1) the person must have exhibited an actual expectation of privacy, and (2) the expectation must be one that society is prepared to recognize as reasonable.</w:t>
      </w:r>
    </w:p>
    <w:p w14:paraId="6C1C330B"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There are two kinds of seizures: with a warrant (the rule) and without a warrant (the exception).</w:t>
      </w:r>
    </w:p>
    <w:p w14:paraId="10DF24CF"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Some types of searches do not need a warrant. These are searches incident to a lawful arrest, searches with consent, searches under exigent circumstances, and searches in hot pursuit of dangerous suspects.</w:t>
      </w:r>
    </w:p>
    <w:p w14:paraId="5B93DDC2"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Two non-police searches do not need a warrant: special needs and administrative searches.</w:t>
      </w:r>
    </w:p>
    <w:p w14:paraId="52AF3D08"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Reasonableness governs the scope of a search. In search cases, it is useful for officers to remember this rule: Do not search for an elephant in a matchbox.</w:t>
      </w:r>
    </w:p>
    <w:p w14:paraId="27C548C7"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When making an arrest, the police may search the area of immediate control.</w:t>
      </w:r>
    </w:p>
    <w:p w14:paraId="5685D135"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Drug testing elementary and high school students taking part in athletics and other school programs is valid.</w:t>
      </w:r>
    </w:p>
    <w:p w14:paraId="66B7D311" w14:textId="77777777" w:rsidR="00AC7260" w:rsidRDefault="00AC7260" w:rsidP="00AC7260">
      <w:pPr>
        <w:pStyle w:val="paralist1"/>
        <w:spacing w:before="0" w:beforeAutospacing="0" w:after="0" w:afterAutospacing="0"/>
        <w:jc w:val="both"/>
        <w:rPr>
          <w:color w:val="000000"/>
        </w:rPr>
      </w:pPr>
      <w:r>
        <w:rPr>
          <w:rStyle w:val="label"/>
          <w:color w:val="000000"/>
        </w:rPr>
        <w:t>♦</w:t>
      </w:r>
      <w:r>
        <w:rPr>
          <w:color w:val="000000"/>
        </w:rPr>
        <w:t>Searches and seizures of computers, e-mails, and related devices and data are governed by the Fourth Amendment, but case law and statutes are still evolving.</w:t>
      </w:r>
    </w:p>
    <w:p w14:paraId="4B7D3CC3" w14:textId="77777777" w:rsidR="00AC7260" w:rsidRPr="00AC7260" w:rsidRDefault="00AC7260" w:rsidP="00AC7260">
      <w:pPr>
        <w:spacing w:before="360" w:after="240"/>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sz w:val="31"/>
          <w:szCs w:val="31"/>
          <w:shd w:val="clear" w:color="auto" w:fill="DCDDDE"/>
        </w:rPr>
        <w:t>REVIEW QUESTIONS</w:t>
      </w:r>
    </w:p>
    <w:p w14:paraId="1E90E473"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1.</w:t>
      </w:r>
      <w:r w:rsidRPr="00AC7260">
        <w:rPr>
          <w:rFonts w:ascii="Times New Roman" w:eastAsia="Times New Roman" w:hAnsi="Times New Roman" w:cs="Times New Roman"/>
          <w:color w:val="000000"/>
        </w:rPr>
        <w:t>Assume someone is talking on her cell phone with her parents while standing in the hallway of a university building between classes. She is telling them confidential things she does not want anybody else to hear. Does she have a reasonable expectation of privacy? Justify your answer.</w:t>
      </w:r>
    </w:p>
    <w:p w14:paraId="3798E0ED"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2.</w:t>
      </w:r>
      <w:r w:rsidRPr="00AC7260">
        <w:rPr>
          <w:rFonts w:ascii="Times New Roman" w:eastAsia="Times New Roman" w:hAnsi="Times New Roman" w:cs="Times New Roman"/>
          <w:color w:val="000000"/>
        </w:rPr>
        <w:t>What are the four requirements of a valid search warrant? Discuss each.</w:t>
      </w:r>
    </w:p>
    <w:p w14:paraId="7EF9B312"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3.</w:t>
      </w:r>
      <w:r w:rsidRPr="00AC7260">
        <w:rPr>
          <w:rFonts w:ascii="Times New Roman" w:eastAsia="Times New Roman" w:hAnsi="Times New Roman" w:cs="Times New Roman"/>
          <w:color w:val="000000"/>
        </w:rPr>
        <w:t>What categories of items are subject to search and seizure?</w:t>
      </w:r>
    </w:p>
    <w:p w14:paraId="4C57A49C"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4.</w:t>
      </w:r>
      <w:r w:rsidRPr="00AC7260">
        <w:rPr>
          <w:rFonts w:ascii="Times New Roman" w:eastAsia="Times New Roman" w:hAnsi="Times New Roman" w:cs="Times New Roman"/>
          <w:color w:val="000000"/>
        </w:rPr>
        <w:t xml:space="preserve">“Police officers executing a search warrant must always knock-and-announce before entry; </w:t>
      </w:r>
      <w:proofErr w:type="gramStart"/>
      <w:r w:rsidRPr="00AC7260">
        <w:rPr>
          <w:rFonts w:ascii="Times New Roman" w:eastAsia="Times New Roman" w:hAnsi="Times New Roman" w:cs="Times New Roman"/>
          <w:color w:val="000000"/>
        </w:rPr>
        <w:t>otherwise</w:t>
      </w:r>
      <w:proofErr w:type="gramEnd"/>
      <w:r w:rsidRPr="00AC7260">
        <w:rPr>
          <w:rFonts w:ascii="Times New Roman" w:eastAsia="Times New Roman" w:hAnsi="Times New Roman" w:cs="Times New Roman"/>
          <w:color w:val="000000"/>
        </w:rPr>
        <w:t xml:space="preserve"> the search is invalid.” Is this statement true or false? Justify your answer.</w:t>
      </w:r>
    </w:p>
    <w:p w14:paraId="5952E43D"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5.</w:t>
      </w:r>
      <w:r w:rsidRPr="00AC7260">
        <w:rPr>
          <w:rFonts w:ascii="Times New Roman" w:eastAsia="Times New Roman" w:hAnsi="Times New Roman" w:cs="Times New Roman"/>
          <w:color w:val="000000"/>
        </w:rPr>
        <w:t>Distinguish between administrative and law enforcement searches.</w:t>
      </w:r>
    </w:p>
    <w:p w14:paraId="5C0AE3C1"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6.</w:t>
      </w:r>
      <w:r w:rsidRPr="00AC7260">
        <w:rPr>
          <w:rFonts w:ascii="Times New Roman" w:eastAsia="Times New Roman" w:hAnsi="Times New Roman" w:cs="Times New Roman"/>
          <w:color w:val="000000"/>
        </w:rPr>
        <w:t>What does the phrase </w:t>
      </w:r>
      <w:r w:rsidRPr="00AC7260">
        <w:rPr>
          <w:rFonts w:ascii="Times New Roman" w:eastAsia="Times New Roman" w:hAnsi="Times New Roman" w:cs="Times New Roman"/>
          <w:i/>
          <w:iCs/>
          <w:color w:val="000000"/>
        </w:rPr>
        <w:t>area of immediate control</w:t>
      </w:r>
      <w:r w:rsidRPr="00AC7260">
        <w:rPr>
          <w:rFonts w:ascii="Times New Roman" w:eastAsia="Times New Roman" w:hAnsi="Times New Roman" w:cs="Times New Roman"/>
          <w:color w:val="000000"/>
        </w:rPr>
        <w:t> mean?</w:t>
      </w:r>
    </w:p>
    <w:p w14:paraId="28D05D06"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7.</w:t>
      </w:r>
      <w:r w:rsidRPr="00AC7260">
        <w:rPr>
          <w:rFonts w:ascii="Times New Roman" w:eastAsia="Times New Roman" w:hAnsi="Times New Roman" w:cs="Times New Roman"/>
          <w:color w:val="000000"/>
        </w:rPr>
        <w:t>What are special needs searches? Give examples. How do they differ from police searches?</w:t>
      </w:r>
    </w:p>
    <w:p w14:paraId="5C8D76F6"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8.</w:t>
      </w:r>
      <w:r w:rsidRPr="00AC7260">
        <w:rPr>
          <w:rFonts w:ascii="Times New Roman" w:eastAsia="Times New Roman" w:hAnsi="Times New Roman" w:cs="Times New Roman"/>
          <w:color w:val="000000"/>
        </w:rPr>
        <w:t>What is the exigent circumstances exception to the warrant requirement? Give examples.</w:t>
      </w:r>
    </w:p>
    <w:p w14:paraId="3A1995A8"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9.</w:t>
      </w:r>
      <w:r w:rsidRPr="00AC7260">
        <w:rPr>
          <w:rFonts w:ascii="Times New Roman" w:eastAsia="Times New Roman" w:hAnsi="Times New Roman" w:cs="Times New Roman"/>
          <w:color w:val="000000"/>
        </w:rPr>
        <w:t>What is the rule concerning searches of students by public school teachers and administrators? Does the same rule apply to school searches by police? Explain.</w:t>
      </w:r>
    </w:p>
    <w:p w14:paraId="028F2327"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10.</w:t>
      </w:r>
      <w:r w:rsidRPr="00AC7260">
        <w:rPr>
          <w:rFonts w:ascii="Times New Roman" w:eastAsia="Times New Roman" w:hAnsi="Times New Roman" w:cs="Times New Roman"/>
          <w:color w:val="000000"/>
        </w:rPr>
        <w:t>“The scope and manner of a search must be reasonable.” Explain what this statement means.</w:t>
      </w:r>
    </w:p>
    <w:p w14:paraId="48444FD5"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11.</w:t>
      </w:r>
      <w:r w:rsidRPr="00AC7260">
        <w:rPr>
          <w:rFonts w:ascii="Times New Roman" w:eastAsia="Times New Roman" w:hAnsi="Times New Roman" w:cs="Times New Roman"/>
          <w:color w:val="000000"/>
        </w:rPr>
        <w:t xml:space="preserve">Summarize the rules on computer searches. Are they </w:t>
      </w:r>
      <w:proofErr w:type="gramStart"/>
      <w:r w:rsidRPr="00AC7260">
        <w:rPr>
          <w:rFonts w:ascii="Times New Roman" w:eastAsia="Times New Roman" w:hAnsi="Times New Roman" w:cs="Times New Roman"/>
          <w:color w:val="000000"/>
        </w:rPr>
        <w:t>similar to</w:t>
      </w:r>
      <w:proofErr w:type="gramEnd"/>
      <w:r w:rsidRPr="00AC7260">
        <w:rPr>
          <w:rFonts w:ascii="Times New Roman" w:eastAsia="Times New Roman" w:hAnsi="Times New Roman" w:cs="Times New Roman"/>
          <w:color w:val="000000"/>
        </w:rPr>
        <w:t xml:space="preserve"> or different from other forms of searches?</w:t>
      </w:r>
    </w:p>
    <w:p w14:paraId="7FB76EDA"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12.</w:t>
      </w:r>
      <w:r w:rsidRPr="00AC7260">
        <w:rPr>
          <w:rFonts w:ascii="Times New Roman" w:eastAsia="Times New Roman" w:hAnsi="Times New Roman" w:cs="Times New Roman"/>
          <w:color w:val="000000"/>
        </w:rPr>
        <w:t>“Searches of texts and e-mails are subject to the same rules as searches of things under the Fourth Amendment.” Is this statement true or false? Justify your answer.</w:t>
      </w:r>
    </w:p>
    <w:p w14:paraId="3B24952F" w14:textId="77777777" w:rsidR="00AC7260" w:rsidRPr="00AC7260" w:rsidRDefault="00AC7260" w:rsidP="00AC7260">
      <w:pPr>
        <w:spacing w:before="360" w:after="240"/>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sz w:val="31"/>
          <w:szCs w:val="31"/>
          <w:shd w:val="clear" w:color="auto" w:fill="DCDDDE"/>
        </w:rPr>
        <w:t>TEST YOUR UNDERSTANDING</w:t>
      </w:r>
    </w:p>
    <w:p w14:paraId="057C0CCF"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1.</w:t>
      </w:r>
      <w:r w:rsidRPr="00AC7260">
        <w:rPr>
          <w:rFonts w:ascii="Times New Roman" w:eastAsia="Times New Roman" w:hAnsi="Times New Roman" w:cs="Times New Roman"/>
          <w:color w:val="000000"/>
        </w:rPr>
        <w:t>Officers Joe and Bob were executing a search warrant for a shotgun allegedly used in a murder. They knocked at the house of the suspect and waited a full minute. When there was no response, they broke in and conducted a search but did not find the shotgun. They were later sued for unlawful entry. Was their entry unlawful? Justify your answer.</w:t>
      </w:r>
    </w:p>
    <w:p w14:paraId="030427C9"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2.</w:t>
      </w:r>
      <w:r w:rsidRPr="00AC7260">
        <w:rPr>
          <w:rFonts w:ascii="Times New Roman" w:eastAsia="Times New Roman" w:hAnsi="Times New Roman" w:cs="Times New Roman"/>
          <w:color w:val="000000"/>
        </w:rPr>
        <w:t xml:space="preserve">John, a student, had a bad fight with his girlfriend, Gail. They agreed to split up. Prior to that, Gail was living with John in his apartment and had her own key. When John left for class, Gail immediately went to the police and reported that John was selling drugs in his apartment. She said </w:t>
      </w:r>
      <w:r w:rsidRPr="00AC7260">
        <w:rPr>
          <w:rFonts w:ascii="Times New Roman" w:eastAsia="Times New Roman" w:hAnsi="Times New Roman" w:cs="Times New Roman"/>
          <w:color w:val="000000"/>
        </w:rPr>
        <w:lastRenderedPageBreak/>
        <w:t>she was John's girlfriend and was living in the apartment with him. Without obtaining a warrant, the police went to the apartment and asked Gail to open the door and let them in. She did, and the police found heroin, which they seized. Was the seizure valid? State your reasons.</w:t>
      </w:r>
    </w:p>
    <w:p w14:paraId="5177018A"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3.</w:t>
      </w:r>
      <w:r w:rsidRPr="00AC7260">
        <w:rPr>
          <w:rFonts w:ascii="Times New Roman" w:eastAsia="Times New Roman" w:hAnsi="Times New Roman" w:cs="Times New Roman"/>
          <w:color w:val="000000"/>
        </w:rPr>
        <w:t>Mary and Sis were roommates in a dormitory but only for a few days because it was the start of the semester. On their third evening together, the campus police knocked on their door and asked if they could come in and “look around.” When asked why, they told both occupants that they had reports from the other dormitory occupants that drugs were being sold from the room. Mary a psychology major, readily gave consent, but Sis, a criminal justice student, refused to give consent, saying the police had to have a warrant based on probable cause to be able to come in. Based on Mary's consent, the police entered the room anyway and found drugs—ironically, on the desk owned by Mary. The police seized the drugs. Prosecuted for drug possession and sale, Mary sought exclusion of the evidence, saying his roommate had expressly objected to the police entry. You are the judge. Will you admit or exclude the evidence against Mary? Justify your answer based on cases decided by the Court.</w:t>
      </w:r>
    </w:p>
    <w:p w14:paraId="5D82FBD3"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4.</w:t>
      </w:r>
      <w:r w:rsidRPr="00AC7260">
        <w:rPr>
          <w:rFonts w:ascii="Times New Roman" w:eastAsia="Times New Roman" w:hAnsi="Times New Roman" w:cs="Times New Roman"/>
          <w:color w:val="000000"/>
        </w:rPr>
        <w:t>Assume you are a police officer in the Boston Police Department. You are executing a search warrant issued by a judge. The warrant says you are to search the home of Jane, a high-profile suspect in various drug deals. Discuss the extent and scope of what you can search. Will you search Jane's living room, kitchen, dining room, bedroom, and garage? Assume Jane has two vehicles parked in her covered garage. Can you also search those? Justify the scope of your search.</w:t>
      </w:r>
    </w:p>
    <w:p w14:paraId="0503C5B1" w14:textId="77777777" w:rsidR="00AC7260" w:rsidRPr="00AC7260" w:rsidRDefault="00AC7260" w:rsidP="00AC7260">
      <w:pPr>
        <w:jc w:val="both"/>
        <w:rPr>
          <w:rFonts w:ascii="Times New Roman" w:eastAsia="Times New Roman" w:hAnsi="Times New Roman" w:cs="Times New Roman"/>
          <w:color w:val="000000"/>
        </w:rPr>
      </w:pPr>
      <w:r w:rsidRPr="00AC7260">
        <w:rPr>
          <w:rFonts w:ascii="Times New Roman" w:eastAsia="Times New Roman" w:hAnsi="Times New Roman" w:cs="Times New Roman"/>
          <w:b/>
          <w:bCs/>
          <w:color w:val="000000"/>
        </w:rPr>
        <w:t>5.</w:t>
      </w:r>
      <w:r w:rsidRPr="00AC7260">
        <w:rPr>
          <w:rFonts w:ascii="Times New Roman" w:eastAsia="Times New Roman" w:hAnsi="Times New Roman" w:cs="Times New Roman"/>
          <w:color w:val="000000"/>
        </w:rPr>
        <w:t>Chris, a crack dealer, was shot by the police during a police raid of a crack house. The bullet hit Chris in the leg and stayed there. Assume you are a judge. The officers come to you seeking a warrant for the removal by surgery in a hospital of the bullet lodged in Chris's leg. You are the judge. Will you issue the warrant? Justify your decision.</w:t>
      </w:r>
    </w:p>
    <w:p w14:paraId="5A230FC2" w14:textId="77777777" w:rsidR="00AC7260" w:rsidRDefault="00AC7260" w:rsidP="00AC7260">
      <w:pPr>
        <w:pStyle w:val="noindent"/>
        <w:spacing w:before="360" w:beforeAutospacing="0" w:after="240" w:afterAutospacing="0"/>
        <w:jc w:val="both"/>
        <w:rPr>
          <w:color w:val="000000"/>
        </w:rPr>
      </w:pPr>
      <w:r>
        <w:rPr>
          <w:b/>
          <w:bCs/>
          <w:color w:val="000000"/>
          <w:sz w:val="31"/>
          <w:szCs w:val="31"/>
          <w:shd w:val="clear" w:color="auto" w:fill="DCDDDE"/>
        </w:rPr>
        <w:t>RECOMMENDED READINGS</w:t>
      </w:r>
    </w:p>
    <w:p w14:paraId="0E206337" w14:textId="77777777" w:rsidR="00AC7260" w:rsidRDefault="00AC7260" w:rsidP="00AC7260">
      <w:pPr>
        <w:pStyle w:val="parahangblk1"/>
        <w:spacing w:before="120" w:beforeAutospacing="0" w:after="120" w:afterAutospacing="0"/>
        <w:ind w:left="360" w:hanging="360"/>
        <w:jc w:val="both"/>
        <w:rPr>
          <w:color w:val="000000"/>
        </w:rPr>
      </w:pPr>
      <w:r>
        <w:rPr>
          <w:color w:val="000000"/>
        </w:rPr>
        <w:t>Jennifer Cook. Note.</w:t>
      </w:r>
      <w:r>
        <w:rPr>
          <w:rStyle w:val="apple-converted-space"/>
          <w:color w:val="000000"/>
        </w:rPr>
        <w:t> </w:t>
      </w:r>
      <w:r>
        <w:rPr>
          <w:rStyle w:val="Emphasis"/>
          <w:color w:val="000000"/>
        </w:rPr>
        <w:t>Discretionary warrantless searches and seizures and the Fourth Amendment: A need for clearer guidelines.</w:t>
      </w:r>
      <w:r>
        <w:rPr>
          <w:rStyle w:val="apple-converted-space"/>
          <w:color w:val="000000"/>
        </w:rPr>
        <w:t> </w:t>
      </w:r>
      <w:r>
        <w:rPr>
          <w:color w:val="000000"/>
        </w:rPr>
        <w:t>South Carolina Law Review, 410–440 (2001).</w:t>
      </w:r>
    </w:p>
    <w:p w14:paraId="0B8AF160" w14:textId="77777777" w:rsidR="00AC7260" w:rsidRDefault="00AC7260" w:rsidP="00AC7260">
      <w:pPr>
        <w:pStyle w:val="parahangblk1"/>
        <w:spacing w:before="120" w:beforeAutospacing="0" w:after="120" w:afterAutospacing="0"/>
        <w:ind w:left="360" w:hanging="360"/>
        <w:jc w:val="both"/>
        <w:rPr>
          <w:color w:val="000000"/>
        </w:rPr>
      </w:pPr>
      <w:r>
        <w:rPr>
          <w:color w:val="000000"/>
        </w:rPr>
        <w:t>Orin S. Kerr.</w:t>
      </w:r>
      <w:r>
        <w:rPr>
          <w:rStyle w:val="apple-converted-space"/>
          <w:color w:val="000000"/>
        </w:rPr>
        <w:t> </w:t>
      </w:r>
      <w:r>
        <w:rPr>
          <w:rStyle w:val="Emphasis"/>
          <w:color w:val="000000"/>
        </w:rPr>
        <w:t>An equilibrium-adjustment theory of the Fourth Amendment.</w:t>
      </w:r>
      <w:r>
        <w:rPr>
          <w:rStyle w:val="apple-converted-space"/>
          <w:color w:val="000000"/>
        </w:rPr>
        <w:t> </w:t>
      </w:r>
      <w:r>
        <w:rPr>
          <w:color w:val="000000"/>
        </w:rPr>
        <w:t>Harvard Law Review, vol. 125, p. 476 (2011).</w:t>
      </w:r>
    </w:p>
    <w:p w14:paraId="6C5AB2C9" w14:textId="77777777" w:rsidR="00AC7260" w:rsidRDefault="00AC7260" w:rsidP="00AC7260">
      <w:pPr>
        <w:pStyle w:val="parahangblk1"/>
        <w:spacing w:before="120" w:beforeAutospacing="0" w:after="120" w:afterAutospacing="0"/>
        <w:ind w:left="360" w:hanging="360"/>
        <w:jc w:val="both"/>
        <w:rPr>
          <w:color w:val="000000"/>
        </w:rPr>
      </w:pPr>
      <w:r>
        <w:rPr>
          <w:color w:val="000000"/>
        </w:rPr>
        <w:t xml:space="preserve">Edward J. </w:t>
      </w:r>
      <w:proofErr w:type="spellStart"/>
      <w:r>
        <w:rPr>
          <w:color w:val="000000"/>
        </w:rPr>
        <w:t>Imwinkelried</w:t>
      </w:r>
      <w:proofErr w:type="spellEnd"/>
      <w:r>
        <w:rPr>
          <w:color w:val="000000"/>
        </w:rPr>
        <w:t>.</w:t>
      </w:r>
      <w:r>
        <w:rPr>
          <w:rStyle w:val="apple-converted-space"/>
          <w:color w:val="000000"/>
        </w:rPr>
        <w:t> </w:t>
      </w:r>
      <w:r>
        <w:rPr>
          <w:rStyle w:val="Emphasis"/>
          <w:color w:val="000000"/>
        </w:rPr>
        <w:t>The dangerous trend blurring the distinction between a reasonable expectation of confidentiality in privilege law and a reasonable expectation of privacy in fourth amendment jurisprudence.</w:t>
      </w:r>
      <w:r>
        <w:rPr>
          <w:rStyle w:val="apple-converted-space"/>
          <w:color w:val="000000"/>
        </w:rPr>
        <w:t> </w:t>
      </w:r>
      <w:r>
        <w:rPr>
          <w:color w:val="000000"/>
        </w:rPr>
        <w:t>Loyola Law Review, vol. 57, p. 1 (2011).</w:t>
      </w:r>
    </w:p>
    <w:p w14:paraId="6E89AAB9" w14:textId="77777777" w:rsidR="00AC7260" w:rsidRDefault="00AC7260" w:rsidP="00AC7260">
      <w:pPr>
        <w:pStyle w:val="parahangblk1"/>
        <w:spacing w:before="120" w:beforeAutospacing="0" w:after="120" w:afterAutospacing="0"/>
        <w:ind w:left="360" w:hanging="360"/>
        <w:jc w:val="both"/>
        <w:rPr>
          <w:color w:val="000000"/>
        </w:rPr>
      </w:pPr>
      <w:r>
        <w:rPr>
          <w:color w:val="000000"/>
        </w:rPr>
        <w:t>Tracey Maclin.</w:t>
      </w:r>
      <w:r>
        <w:rPr>
          <w:rStyle w:val="apple-converted-space"/>
          <w:color w:val="000000"/>
        </w:rPr>
        <w:t> </w:t>
      </w:r>
      <w:r>
        <w:rPr>
          <w:rStyle w:val="Emphasis"/>
          <w:color w:val="000000"/>
        </w:rPr>
        <w:t>The good and bad news about consent searches in the supreme court.</w:t>
      </w:r>
      <w:r>
        <w:rPr>
          <w:rStyle w:val="apple-converted-space"/>
          <w:color w:val="000000"/>
        </w:rPr>
        <w:t> </w:t>
      </w:r>
      <w:r>
        <w:rPr>
          <w:color w:val="000000"/>
        </w:rPr>
        <w:t>McGeorge Law Review, 39, no. 27 (2008).</w:t>
      </w:r>
    </w:p>
    <w:p w14:paraId="32677604" w14:textId="77777777" w:rsidR="00AC7260" w:rsidRDefault="00AC7260" w:rsidP="00AC7260">
      <w:pPr>
        <w:pStyle w:val="parahangblk1"/>
        <w:spacing w:before="120" w:beforeAutospacing="0" w:after="120" w:afterAutospacing="0"/>
        <w:ind w:left="360" w:hanging="360"/>
        <w:jc w:val="both"/>
        <w:rPr>
          <w:color w:val="000000"/>
        </w:rPr>
      </w:pPr>
      <w:r>
        <w:rPr>
          <w:color w:val="000000"/>
        </w:rPr>
        <w:t>Aaron Stanley.</w:t>
      </w:r>
      <w:r>
        <w:rPr>
          <w:rStyle w:val="apple-converted-space"/>
          <w:color w:val="000000"/>
        </w:rPr>
        <w:t> </w:t>
      </w:r>
      <w:r>
        <w:rPr>
          <w:rStyle w:val="Emphasis"/>
          <w:color w:val="000000"/>
        </w:rPr>
        <w:t>The continuing evolution of consent and authority in digital search and seizure.</w:t>
      </w:r>
      <w:r>
        <w:rPr>
          <w:rStyle w:val="apple-converted-space"/>
          <w:color w:val="000000"/>
        </w:rPr>
        <w:t> </w:t>
      </w:r>
      <w:r>
        <w:rPr>
          <w:color w:val="000000"/>
        </w:rPr>
        <w:t>Fordham Intellectual Property, Media &amp; Entertainment Law Journal, 19 (2008): 179.</w:t>
      </w:r>
    </w:p>
    <w:p w14:paraId="46274634" w14:textId="77777777" w:rsidR="00AC7260" w:rsidRDefault="00AC7260" w:rsidP="00AC7260">
      <w:pPr>
        <w:pStyle w:val="parahangblk1"/>
        <w:spacing w:before="120" w:beforeAutospacing="0" w:after="120" w:afterAutospacing="0"/>
        <w:ind w:left="360" w:hanging="360"/>
        <w:jc w:val="both"/>
        <w:rPr>
          <w:color w:val="000000"/>
        </w:rPr>
      </w:pPr>
      <w:r>
        <w:rPr>
          <w:color w:val="000000"/>
        </w:rPr>
        <w:t>Seth W. Stoughton.</w:t>
      </w:r>
      <w:r>
        <w:rPr>
          <w:rStyle w:val="apple-converted-space"/>
          <w:color w:val="000000"/>
        </w:rPr>
        <w:t> </w:t>
      </w:r>
      <w:r>
        <w:rPr>
          <w:rStyle w:val="Emphasis"/>
          <w:color w:val="000000"/>
        </w:rPr>
        <w:t>Modern police practices: Arizona v. Gant's illusory restriction of vehicle searches incident to arrest.</w:t>
      </w:r>
      <w:r>
        <w:rPr>
          <w:rStyle w:val="apple-converted-space"/>
          <w:color w:val="000000"/>
        </w:rPr>
        <w:t> </w:t>
      </w:r>
      <w:r>
        <w:rPr>
          <w:color w:val="000000"/>
        </w:rPr>
        <w:t>Virginia Law Review, vol. 97, p. 1727 (2011).</w:t>
      </w:r>
    </w:p>
    <w:p w14:paraId="6BBD0F0E" w14:textId="77777777" w:rsidR="00AC7260" w:rsidRDefault="00AC7260" w:rsidP="00AC7260">
      <w:pPr>
        <w:pStyle w:val="parahangblk1"/>
        <w:spacing w:before="120" w:beforeAutospacing="0" w:after="120" w:afterAutospacing="0"/>
        <w:ind w:left="360" w:hanging="360"/>
        <w:jc w:val="both"/>
        <w:rPr>
          <w:color w:val="000000"/>
        </w:rPr>
      </w:pPr>
      <w:r>
        <w:rPr>
          <w:color w:val="000000"/>
        </w:rPr>
        <w:t xml:space="preserve">James </w:t>
      </w:r>
      <w:proofErr w:type="spellStart"/>
      <w:r>
        <w:rPr>
          <w:color w:val="000000"/>
        </w:rPr>
        <w:t>Tomkovicz</w:t>
      </w:r>
      <w:proofErr w:type="spellEnd"/>
      <w:r>
        <w:rPr>
          <w:color w:val="000000"/>
        </w:rPr>
        <w:t>.</w:t>
      </w:r>
      <w:r>
        <w:rPr>
          <w:rStyle w:val="apple-converted-space"/>
          <w:color w:val="000000"/>
        </w:rPr>
        <w:t> </w:t>
      </w:r>
      <w:r>
        <w:rPr>
          <w:rStyle w:val="Emphasis"/>
          <w:color w:val="000000"/>
        </w:rPr>
        <w:t>Divining and designing the future of the search incident to arrest doctrine: Avoiding instability, irrationality, and infidelity.</w:t>
      </w:r>
      <w:r>
        <w:rPr>
          <w:rStyle w:val="apple-converted-space"/>
          <w:color w:val="000000"/>
        </w:rPr>
        <w:t> </w:t>
      </w:r>
      <w:r>
        <w:rPr>
          <w:color w:val="000000"/>
        </w:rPr>
        <w:t>University of Illinois Law Review, 2007, 1417–76.</w:t>
      </w:r>
    </w:p>
    <w:p w14:paraId="4EF787F1" w14:textId="77777777" w:rsidR="00AC7260" w:rsidRDefault="00AC7260" w:rsidP="00AC7260">
      <w:pPr>
        <w:pStyle w:val="noindent"/>
        <w:spacing w:before="360" w:beforeAutospacing="0" w:after="240" w:afterAutospacing="0"/>
        <w:jc w:val="both"/>
        <w:rPr>
          <w:color w:val="000000"/>
        </w:rPr>
      </w:pPr>
      <w:r>
        <w:rPr>
          <w:b/>
          <w:bCs/>
          <w:color w:val="000000"/>
          <w:sz w:val="31"/>
          <w:szCs w:val="31"/>
          <w:shd w:val="clear" w:color="auto" w:fill="DCDDDE"/>
        </w:rPr>
        <w:lastRenderedPageBreak/>
        <w:t>NOTES</w:t>
      </w:r>
    </w:p>
    <w:p w14:paraId="09270C22" w14:textId="77777777" w:rsidR="00AC7260" w:rsidRDefault="00AC7260" w:rsidP="00AC7260">
      <w:pPr>
        <w:pStyle w:val="fn"/>
        <w:spacing w:before="0" w:beforeAutospacing="0" w:after="0" w:afterAutospacing="0"/>
        <w:jc w:val="both"/>
        <w:rPr>
          <w:color w:val="000000"/>
          <w:sz w:val="22"/>
          <w:szCs w:val="22"/>
        </w:rPr>
      </w:pPr>
      <w:hyperlink r:id="rId149" w:anchor="ch7-Rfn1" w:history="1">
        <w:r>
          <w:rPr>
            <w:rStyle w:val="Hyperlink"/>
            <w:b/>
            <w:bCs/>
            <w:sz w:val="22"/>
            <w:szCs w:val="22"/>
          </w:rPr>
          <w:t>1.</w:t>
        </w:r>
      </w:hyperlink>
      <w:r>
        <w:rPr>
          <w:rStyle w:val="Emphasis"/>
          <w:color w:val="000000"/>
          <w:sz w:val="22"/>
          <w:szCs w:val="22"/>
        </w:rPr>
        <w:t>Computer Searches</w:t>
      </w:r>
      <w:r>
        <w:rPr>
          <w:color w:val="000000"/>
          <w:sz w:val="22"/>
          <w:szCs w:val="22"/>
        </w:rPr>
        <w:t>, by the District Attorney's Office in Alameda County, California,</w:t>
      </w:r>
      <w:r>
        <w:rPr>
          <w:rStyle w:val="apple-converted-space"/>
          <w:color w:val="000000"/>
          <w:sz w:val="22"/>
          <w:szCs w:val="22"/>
        </w:rPr>
        <w:t> </w:t>
      </w:r>
      <w:hyperlink r:id="rId150" w:history="1">
        <w:r>
          <w:rPr>
            <w:rStyle w:val="Emphasis"/>
            <w:color w:val="0000FF"/>
            <w:sz w:val="22"/>
            <w:szCs w:val="22"/>
          </w:rPr>
          <w:t>http://www.acgov.org/da/pov/documents/web.htm</w:t>
        </w:r>
      </w:hyperlink>
      <w:r>
        <w:rPr>
          <w:color w:val="000000"/>
          <w:sz w:val="22"/>
          <w:szCs w:val="22"/>
        </w:rPr>
        <w:t>.</w:t>
      </w:r>
    </w:p>
    <w:p w14:paraId="3A093730" w14:textId="77777777" w:rsidR="00AC7260" w:rsidRDefault="00AC7260" w:rsidP="00AC7260">
      <w:pPr>
        <w:pStyle w:val="fn"/>
        <w:spacing w:before="0" w:beforeAutospacing="0" w:after="0" w:afterAutospacing="0"/>
        <w:jc w:val="both"/>
        <w:rPr>
          <w:color w:val="000000"/>
          <w:sz w:val="22"/>
          <w:szCs w:val="22"/>
        </w:rPr>
      </w:pPr>
      <w:hyperlink r:id="rId151" w:anchor="ch7-Rfn2" w:history="1">
        <w:r>
          <w:rPr>
            <w:rStyle w:val="Hyperlink"/>
            <w:b/>
            <w:bCs/>
            <w:sz w:val="22"/>
            <w:szCs w:val="22"/>
          </w:rPr>
          <w:t>2.</w:t>
        </w:r>
      </w:hyperlink>
      <w:r>
        <w:rPr>
          <w:color w:val="000000"/>
          <w:sz w:val="22"/>
          <w:szCs w:val="22"/>
        </w:rPr>
        <w:t>Ibid.</w:t>
      </w:r>
    </w:p>
    <w:p w14:paraId="0E97072E" w14:textId="77777777" w:rsidR="00AC7260" w:rsidRDefault="00AC7260" w:rsidP="00AC7260">
      <w:pPr>
        <w:pStyle w:val="fn"/>
        <w:spacing w:before="0" w:beforeAutospacing="0" w:after="0" w:afterAutospacing="0"/>
        <w:jc w:val="both"/>
        <w:rPr>
          <w:color w:val="000000"/>
          <w:sz w:val="22"/>
          <w:szCs w:val="22"/>
        </w:rPr>
      </w:pPr>
      <w:hyperlink r:id="rId152" w:anchor="ch7-Rfn3" w:history="1">
        <w:r>
          <w:rPr>
            <w:rStyle w:val="Hyperlink"/>
            <w:b/>
            <w:bCs/>
            <w:sz w:val="22"/>
            <w:szCs w:val="22"/>
          </w:rPr>
          <w:t>3.</w:t>
        </w:r>
      </w:hyperlink>
      <w:r>
        <w:rPr>
          <w:rStyle w:val="Emphasis"/>
          <w:color w:val="000000"/>
          <w:sz w:val="22"/>
          <w:szCs w:val="22"/>
        </w:rPr>
        <w:t>Searching and Seizing Computers and Obtaining Electronic Evidence in Criminal Investigations.</w:t>
      </w:r>
      <w:r>
        <w:rPr>
          <w:rStyle w:val="apple-converted-space"/>
          <w:color w:val="000000"/>
          <w:sz w:val="22"/>
          <w:szCs w:val="22"/>
        </w:rPr>
        <w:t> </w:t>
      </w:r>
      <w:r>
        <w:rPr>
          <w:color w:val="000000"/>
          <w:sz w:val="22"/>
          <w:szCs w:val="22"/>
        </w:rPr>
        <w:t>Computer Crime and Intellectual Property Section, Criminal Division, U.S. Department of Justice, July 2002.</w:t>
      </w:r>
    </w:p>
    <w:p w14:paraId="52FB21E9" w14:textId="77777777" w:rsidR="00AC7260" w:rsidRDefault="00AC7260" w:rsidP="00AC7260">
      <w:pPr>
        <w:pStyle w:val="fn"/>
        <w:spacing w:before="0" w:beforeAutospacing="0" w:after="0" w:afterAutospacing="0"/>
        <w:jc w:val="both"/>
        <w:rPr>
          <w:color w:val="000000"/>
          <w:sz w:val="22"/>
          <w:szCs w:val="22"/>
        </w:rPr>
      </w:pPr>
      <w:hyperlink r:id="rId153" w:anchor="ch7-Rfn4" w:history="1">
        <w:r>
          <w:rPr>
            <w:rStyle w:val="Hyperlink"/>
            <w:b/>
            <w:bCs/>
            <w:sz w:val="22"/>
            <w:szCs w:val="22"/>
          </w:rPr>
          <w:t>4.</w:t>
        </w:r>
      </w:hyperlink>
      <w:r>
        <w:rPr>
          <w:color w:val="000000"/>
          <w:sz w:val="22"/>
          <w:szCs w:val="22"/>
        </w:rPr>
        <w:t>Ibid.</w:t>
      </w:r>
    </w:p>
    <w:p w14:paraId="24F323EE" w14:textId="77777777" w:rsidR="00AC7260" w:rsidRDefault="00AC7260" w:rsidP="00AC7260">
      <w:pPr>
        <w:pStyle w:val="indent"/>
        <w:spacing w:before="0" w:beforeAutospacing="0" w:after="0" w:afterAutospacing="0"/>
        <w:ind w:firstLine="360"/>
        <w:jc w:val="both"/>
        <w:rPr>
          <w:color w:val="000000"/>
        </w:rPr>
      </w:pPr>
    </w:p>
    <w:p w14:paraId="134B2BD3" w14:textId="77777777" w:rsidR="00AC7260" w:rsidRDefault="00AC7260" w:rsidP="009826EC"/>
    <w:sectPr w:rsidR="00AC7260">
      <w:headerReference w:type="even" r:id="rId154"/>
      <w:headerReference w:type="default" r:id="rId155"/>
      <w:footerReference w:type="even" r:id="rId156"/>
      <w:footerReference w:type="default" r:id="rId157"/>
      <w:headerReference w:type="first" r:id="rId158"/>
      <w:footerReference w:type="first" r:id="rId1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867FB2" w14:textId="77777777" w:rsidR="00872E7F" w:rsidRDefault="00872E7F" w:rsidP="009826EC">
      <w:r>
        <w:separator/>
      </w:r>
    </w:p>
  </w:endnote>
  <w:endnote w:type="continuationSeparator" w:id="0">
    <w:p w14:paraId="6972A872" w14:textId="77777777" w:rsidR="00872E7F" w:rsidRDefault="00872E7F" w:rsidP="0098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F40AF" w14:textId="77777777" w:rsidR="009826EC" w:rsidRDefault="009826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175BC" w14:textId="77777777" w:rsidR="009826EC" w:rsidRDefault="009826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65EE6" w14:textId="77777777" w:rsidR="009826EC" w:rsidRDefault="009826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5E4485" w14:textId="77777777" w:rsidR="00872E7F" w:rsidRDefault="00872E7F" w:rsidP="009826EC">
      <w:r>
        <w:separator/>
      </w:r>
    </w:p>
  </w:footnote>
  <w:footnote w:type="continuationSeparator" w:id="0">
    <w:p w14:paraId="0866BF50" w14:textId="77777777" w:rsidR="00872E7F" w:rsidRDefault="00872E7F" w:rsidP="00982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B6D8DB" w14:textId="77777777" w:rsidR="009826EC" w:rsidRDefault="009826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23473" w14:textId="6BACE69C" w:rsidR="009826EC" w:rsidRDefault="009826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0E98F" w14:textId="77777777" w:rsidR="009826EC" w:rsidRDefault="009826E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EC"/>
    <w:rsid w:val="000C4264"/>
    <w:rsid w:val="00872E7F"/>
    <w:rsid w:val="009826EC"/>
    <w:rsid w:val="00AC7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B9F5E0"/>
  <w15:chartTrackingRefBased/>
  <w15:docId w15:val="{EC9727D5-529D-4346-A452-4501E1CDD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826E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826E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826E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6E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826EC"/>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826EC"/>
    <w:rPr>
      <w:color w:val="0000FF"/>
      <w:u w:val="single"/>
    </w:rPr>
  </w:style>
  <w:style w:type="paragraph" w:customStyle="1" w:styleId="paralist1">
    <w:name w:val="paralist1"/>
    <w:basedOn w:val="Normal"/>
    <w:rsid w:val="009826EC"/>
    <w:pPr>
      <w:spacing w:before="100" w:beforeAutospacing="1" w:after="100" w:afterAutospacing="1"/>
    </w:pPr>
    <w:rPr>
      <w:rFonts w:ascii="Times New Roman" w:eastAsia="Times New Roman" w:hAnsi="Times New Roman" w:cs="Times New Roman"/>
    </w:rPr>
  </w:style>
  <w:style w:type="character" w:customStyle="1" w:styleId="label">
    <w:name w:val="label"/>
    <w:basedOn w:val="DefaultParagraphFont"/>
    <w:rsid w:val="009826EC"/>
  </w:style>
  <w:style w:type="character" w:customStyle="1" w:styleId="apple-converted-space">
    <w:name w:val="apple-converted-space"/>
    <w:basedOn w:val="DefaultParagraphFont"/>
    <w:rsid w:val="009826EC"/>
  </w:style>
  <w:style w:type="character" w:styleId="Emphasis">
    <w:name w:val="Emphasis"/>
    <w:basedOn w:val="DefaultParagraphFont"/>
    <w:uiPriority w:val="20"/>
    <w:qFormat/>
    <w:rsid w:val="009826EC"/>
    <w:rPr>
      <w:i/>
      <w:iCs/>
    </w:rPr>
  </w:style>
  <w:style w:type="paragraph" w:customStyle="1" w:styleId="noindent">
    <w:name w:val="noindent"/>
    <w:basedOn w:val="Normal"/>
    <w:rsid w:val="009826EC"/>
    <w:pPr>
      <w:spacing w:before="100" w:beforeAutospacing="1" w:after="100" w:afterAutospacing="1"/>
    </w:pPr>
    <w:rPr>
      <w:rFonts w:ascii="Times New Roman" w:eastAsia="Times New Roman" w:hAnsi="Times New Roman" w:cs="Times New Roman"/>
    </w:rPr>
  </w:style>
  <w:style w:type="paragraph" w:customStyle="1" w:styleId="indent">
    <w:name w:val="indent"/>
    <w:basedOn w:val="Normal"/>
    <w:rsid w:val="009826EC"/>
    <w:pPr>
      <w:spacing w:before="100" w:beforeAutospacing="1" w:after="100" w:afterAutospacing="1"/>
    </w:pPr>
    <w:rPr>
      <w:rFonts w:ascii="Times New Roman" w:eastAsia="Times New Roman" w:hAnsi="Times New Roman" w:cs="Times New Roman"/>
    </w:rPr>
  </w:style>
  <w:style w:type="paragraph" w:customStyle="1" w:styleId="noindent2">
    <w:name w:val="noindent2"/>
    <w:basedOn w:val="Normal"/>
    <w:rsid w:val="009826EC"/>
    <w:pPr>
      <w:spacing w:before="100" w:beforeAutospacing="1" w:after="100" w:afterAutospacing="1"/>
    </w:pPr>
    <w:rPr>
      <w:rFonts w:ascii="Times New Roman" w:eastAsia="Times New Roman" w:hAnsi="Times New Roman" w:cs="Times New Roman"/>
    </w:rPr>
  </w:style>
  <w:style w:type="paragraph" w:customStyle="1" w:styleId="key">
    <w:name w:val="key"/>
    <w:basedOn w:val="Normal"/>
    <w:rsid w:val="009826EC"/>
    <w:pPr>
      <w:spacing w:before="100" w:beforeAutospacing="1" w:after="100" w:afterAutospacing="1"/>
    </w:pPr>
    <w:rPr>
      <w:rFonts w:ascii="Times New Roman" w:eastAsia="Times New Roman" w:hAnsi="Times New Roman" w:cs="Times New Roman"/>
    </w:rPr>
  </w:style>
  <w:style w:type="paragraph" w:customStyle="1" w:styleId="noindent1">
    <w:name w:val="noindent1"/>
    <w:basedOn w:val="Normal"/>
    <w:rsid w:val="009826EC"/>
    <w:pPr>
      <w:spacing w:before="100" w:beforeAutospacing="1" w:after="100" w:afterAutospacing="1"/>
    </w:pPr>
    <w:rPr>
      <w:rFonts w:ascii="Times New Roman" w:eastAsia="Times New Roman" w:hAnsi="Times New Roman" w:cs="Times New Roman"/>
    </w:rPr>
  </w:style>
  <w:style w:type="paragraph" w:customStyle="1" w:styleId="paralist3">
    <w:name w:val="paralist3"/>
    <w:basedOn w:val="Normal"/>
    <w:rsid w:val="009826EC"/>
    <w:pPr>
      <w:spacing w:before="100" w:beforeAutospacing="1" w:after="100" w:afterAutospacing="1"/>
    </w:pPr>
    <w:rPr>
      <w:rFonts w:ascii="Times New Roman" w:eastAsia="Times New Roman" w:hAnsi="Times New Roman" w:cs="Times New Roman"/>
    </w:rPr>
  </w:style>
  <w:style w:type="paragraph" w:customStyle="1" w:styleId="paralist2">
    <w:name w:val="paralist2"/>
    <w:basedOn w:val="Normal"/>
    <w:rsid w:val="009826EC"/>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9826EC"/>
    <w:rPr>
      <w:rFonts w:asciiTheme="majorHAnsi" w:eastAsiaTheme="majorEastAsia" w:hAnsiTheme="majorHAnsi" w:cstheme="majorBidi"/>
      <w:color w:val="1F3763" w:themeColor="accent1" w:themeShade="7F"/>
    </w:rPr>
  </w:style>
  <w:style w:type="paragraph" w:customStyle="1" w:styleId="footnote1">
    <w:name w:val="footnote1"/>
    <w:basedOn w:val="Normal"/>
    <w:rsid w:val="009826EC"/>
    <w:pPr>
      <w:spacing w:before="100" w:beforeAutospacing="1" w:after="100" w:afterAutospacing="1"/>
    </w:pPr>
    <w:rPr>
      <w:rFonts w:ascii="Times New Roman" w:eastAsia="Times New Roman" w:hAnsi="Times New Roman" w:cs="Times New Roman"/>
    </w:rPr>
  </w:style>
  <w:style w:type="paragraph" w:customStyle="1" w:styleId="paralist5">
    <w:name w:val="paralist5"/>
    <w:basedOn w:val="Normal"/>
    <w:rsid w:val="00AC7260"/>
    <w:pPr>
      <w:spacing w:before="100" w:beforeAutospacing="1" w:after="100" w:afterAutospacing="1"/>
    </w:pPr>
    <w:rPr>
      <w:rFonts w:ascii="Times New Roman" w:eastAsia="Times New Roman" w:hAnsi="Times New Roman" w:cs="Times New Roman"/>
    </w:rPr>
  </w:style>
  <w:style w:type="paragraph" w:customStyle="1" w:styleId="indent1">
    <w:name w:val="indent1"/>
    <w:basedOn w:val="Normal"/>
    <w:rsid w:val="00AC7260"/>
    <w:pPr>
      <w:spacing w:before="100" w:beforeAutospacing="1" w:after="100" w:afterAutospacing="1"/>
    </w:pPr>
    <w:rPr>
      <w:rFonts w:ascii="Times New Roman" w:eastAsia="Times New Roman" w:hAnsi="Times New Roman" w:cs="Times New Roman"/>
    </w:rPr>
  </w:style>
  <w:style w:type="paragraph" w:customStyle="1" w:styleId="parahangblk1">
    <w:name w:val="parahangblk1"/>
    <w:basedOn w:val="Normal"/>
    <w:rsid w:val="00AC7260"/>
    <w:pPr>
      <w:spacing w:before="100" w:beforeAutospacing="1" w:after="100" w:afterAutospacing="1"/>
    </w:pPr>
    <w:rPr>
      <w:rFonts w:ascii="Times New Roman" w:eastAsia="Times New Roman" w:hAnsi="Times New Roman" w:cs="Times New Roman"/>
    </w:rPr>
  </w:style>
  <w:style w:type="paragraph" w:customStyle="1" w:styleId="fn">
    <w:name w:val="fn"/>
    <w:basedOn w:val="Normal"/>
    <w:rsid w:val="00AC726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850998">
      <w:bodyDiv w:val="1"/>
      <w:marLeft w:val="0"/>
      <w:marRight w:val="0"/>
      <w:marTop w:val="0"/>
      <w:marBottom w:val="0"/>
      <w:divBdr>
        <w:top w:val="none" w:sz="0" w:space="0" w:color="auto"/>
        <w:left w:val="none" w:sz="0" w:space="0" w:color="auto"/>
        <w:bottom w:val="none" w:sz="0" w:space="0" w:color="auto"/>
        <w:right w:val="none" w:sz="0" w:space="0" w:color="auto"/>
      </w:divBdr>
      <w:divsChild>
        <w:div w:id="1742093894">
          <w:marLeft w:val="-120"/>
          <w:marRight w:val="-120"/>
          <w:marTop w:val="0"/>
          <w:marBottom w:val="120"/>
          <w:divBdr>
            <w:top w:val="none" w:sz="0" w:space="0" w:color="auto"/>
            <w:left w:val="none" w:sz="0" w:space="0" w:color="auto"/>
            <w:bottom w:val="none" w:sz="0" w:space="0" w:color="auto"/>
            <w:right w:val="none" w:sz="0" w:space="0" w:color="auto"/>
          </w:divBdr>
        </w:div>
      </w:divsChild>
    </w:div>
    <w:div w:id="358704913">
      <w:bodyDiv w:val="1"/>
      <w:marLeft w:val="0"/>
      <w:marRight w:val="0"/>
      <w:marTop w:val="0"/>
      <w:marBottom w:val="0"/>
      <w:divBdr>
        <w:top w:val="none" w:sz="0" w:space="0" w:color="auto"/>
        <w:left w:val="none" w:sz="0" w:space="0" w:color="auto"/>
        <w:bottom w:val="none" w:sz="0" w:space="0" w:color="auto"/>
        <w:right w:val="none" w:sz="0" w:space="0" w:color="auto"/>
      </w:divBdr>
      <w:divsChild>
        <w:div w:id="1512136916">
          <w:marLeft w:val="0"/>
          <w:marRight w:val="0"/>
          <w:marTop w:val="240"/>
          <w:marBottom w:val="0"/>
          <w:divBdr>
            <w:top w:val="none" w:sz="0" w:space="0" w:color="auto"/>
            <w:left w:val="none" w:sz="0" w:space="0" w:color="auto"/>
            <w:bottom w:val="none" w:sz="0" w:space="0" w:color="auto"/>
            <w:right w:val="none" w:sz="0" w:space="0" w:color="auto"/>
          </w:divBdr>
        </w:div>
        <w:div w:id="1306274059">
          <w:marLeft w:val="720"/>
          <w:marRight w:val="720"/>
          <w:marTop w:val="240"/>
          <w:marBottom w:val="240"/>
          <w:divBdr>
            <w:top w:val="none" w:sz="0" w:space="0" w:color="auto"/>
            <w:left w:val="none" w:sz="0" w:space="0" w:color="auto"/>
            <w:bottom w:val="none" w:sz="0" w:space="0" w:color="auto"/>
            <w:right w:val="none" w:sz="0" w:space="0" w:color="auto"/>
          </w:divBdr>
        </w:div>
      </w:divsChild>
    </w:div>
    <w:div w:id="391848212">
      <w:bodyDiv w:val="1"/>
      <w:marLeft w:val="0"/>
      <w:marRight w:val="0"/>
      <w:marTop w:val="0"/>
      <w:marBottom w:val="0"/>
      <w:divBdr>
        <w:top w:val="none" w:sz="0" w:space="0" w:color="auto"/>
        <w:left w:val="none" w:sz="0" w:space="0" w:color="auto"/>
        <w:bottom w:val="none" w:sz="0" w:space="0" w:color="auto"/>
        <w:right w:val="none" w:sz="0" w:space="0" w:color="auto"/>
      </w:divBdr>
      <w:divsChild>
        <w:div w:id="739720159">
          <w:marLeft w:val="0"/>
          <w:marRight w:val="0"/>
          <w:marTop w:val="240"/>
          <w:marBottom w:val="0"/>
          <w:divBdr>
            <w:top w:val="none" w:sz="0" w:space="0" w:color="auto"/>
            <w:left w:val="none" w:sz="0" w:space="0" w:color="auto"/>
            <w:bottom w:val="none" w:sz="0" w:space="0" w:color="auto"/>
            <w:right w:val="none" w:sz="0" w:space="0" w:color="auto"/>
          </w:divBdr>
        </w:div>
        <w:div w:id="1655521495">
          <w:marLeft w:val="0"/>
          <w:marRight w:val="0"/>
          <w:marTop w:val="240"/>
          <w:marBottom w:val="0"/>
          <w:divBdr>
            <w:top w:val="none" w:sz="0" w:space="0" w:color="auto"/>
            <w:left w:val="none" w:sz="0" w:space="0" w:color="auto"/>
            <w:bottom w:val="none" w:sz="0" w:space="0" w:color="auto"/>
            <w:right w:val="none" w:sz="0" w:space="0" w:color="auto"/>
          </w:divBdr>
        </w:div>
        <w:div w:id="67659213">
          <w:marLeft w:val="720"/>
          <w:marRight w:val="720"/>
          <w:marTop w:val="240"/>
          <w:marBottom w:val="240"/>
          <w:divBdr>
            <w:top w:val="none" w:sz="0" w:space="0" w:color="auto"/>
            <w:left w:val="none" w:sz="0" w:space="0" w:color="auto"/>
            <w:bottom w:val="none" w:sz="0" w:space="0" w:color="auto"/>
            <w:right w:val="none" w:sz="0" w:space="0" w:color="auto"/>
          </w:divBdr>
        </w:div>
        <w:div w:id="30234360">
          <w:marLeft w:val="720"/>
          <w:marRight w:val="720"/>
          <w:marTop w:val="240"/>
          <w:marBottom w:val="240"/>
          <w:divBdr>
            <w:top w:val="none" w:sz="0" w:space="0" w:color="auto"/>
            <w:left w:val="none" w:sz="0" w:space="0" w:color="auto"/>
            <w:bottom w:val="none" w:sz="0" w:space="0" w:color="auto"/>
            <w:right w:val="none" w:sz="0" w:space="0" w:color="auto"/>
          </w:divBdr>
        </w:div>
      </w:divsChild>
    </w:div>
    <w:div w:id="408885291">
      <w:bodyDiv w:val="1"/>
      <w:marLeft w:val="0"/>
      <w:marRight w:val="0"/>
      <w:marTop w:val="0"/>
      <w:marBottom w:val="0"/>
      <w:divBdr>
        <w:top w:val="none" w:sz="0" w:space="0" w:color="auto"/>
        <w:left w:val="none" w:sz="0" w:space="0" w:color="auto"/>
        <w:bottom w:val="none" w:sz="0" w:space="0" w:color="auto"/>
        <w:right w:val="none" w:sz="0" w:space="0" w:color="auto"/>
      </w:divBdr>
      <w:divsChild>
        <w:div w:id="2072534585">
          <w:marLeft w:val="0"/>
          <w:marRight w:val="0"/>
          <w:marTop w:val="240"/>
          <w:marBottom w:val="0"/>
          <w:divBdr>
            <w:top w:val="none" w:sz="0" w:space="0" w:color="auto"/>
            <w:left w:val="none" w:sz="0" w:space="0" w:color="auto"/>
            <w:bottom w:val="none" w:sz="0" w:space="0" w:color="auto"/>
            <w:right w:val="none" w:sz="0" w:space="0" w:color="auto"/>
          </w:divBdr>
        </w:div>
        <w:div w:id="1225292853">
          <w:marLeft w:val="960"/>
          <w:marRight w:val="960"/>
          <w:marTop w:val="240"/>
          <w:marBottom w:val="240"/>
          <w:divBdr>
            <w:top w:val="none" w:sz="0" w:space="0" w:color="auto"/>
            <w:left w:val="none" w:sz="0" w:space="0" w:color="auto"/>
            <w:bottom w:val="none" w:sz="0" w:space="0" w:color="auto"/>
            <w:right w:val="none" w:sz="0" w:space="0" w:color="auto"/>
          </w:divBdr>
        </w:div>
      </w:divsChild>
    </w:div>
    <w:div w:id="490830082">
      <w:bodyDiv w:val="1"/>
      <w:marLeft w:val="0"/>
      <w:marRight w:val="0"/>
      <w:marTop w:val="0"/>
      <w:marBottom w:val="0"/>
      <w:divBdr>
        <w:top w:val="none" w:sz="0" w:space="0" w:color="auto"/>
        <w:left w:val="none" w:sz="0" w:space="0" w:color="auto"/>
        <w:bottom w:val="none" w:sz="0" w:space="0" w:color="auto"/>
        <w:right w:val="none" w:sz="0" w:space="0" w:color="auto"/>
      </w:divBdr>
      <w:divsChild>
        <w:div w:id="836727403">
          <w:marLeft w:val="720"/>
          <w:marRight w:val="720"/>
          <w:marTop w:val="240"/>
          <w:marBottom w:val="240"/>
          <w:divBdr>
            <w:top w:val="none" w:sz="0" w:space="0" w:color="auto"/>
            <w:left w:val="none" w:sz="0" w:space="0" w:color="auto"/>
            <w:bottom w:val="none" w:sz="0" w:space="0" w:color="auto"/>
            <w:right w:val="none" w:sz="0" w:space="0" w:color="auto"/>
          </w:divBdr>
        </w:div>
      </w:divsChild>
    </w:div>
    <w:div w:id="554508522">
      <w:bodyDiv w:val="1"/>
      <w:marLeft w:val="0"/>
      <w:marRight w:val="0"/>
      <w:marTop w:val="0"/>
      <w:marBottom w:val="0"/>
      <w:divBdr>
        <w:top w:val="none" w:sz="0" w:space="0" w:color="auto"/>
        <w:left w:val="none" w:sz="0" w:space="0" w:color="auto"/>
        <w:bottom w:val="none" w:sz="0" w:space="0" w:color="auto"/>
        <w:right w:val="none" w:sz="0" w:space="0" w:color="auto"/>
      </w:divBdr>
    </w:div>
    <w:div w:id="577443324">
      <w:bodyDiv w:val="1"/>
      <w:marLeft w:val="0"/>
      <w:marRight w:val="0"/>
      <w:marTop w:val="0"/>
      <w:marBottom w:val="0"/>
      <w:divBdr>
        <w:top w:val="none" w:sz="0" w:space="0" w:color="auto"/>
        <w:left w:val="none" w:sz="0" w:space="0" w:color="auto"/>
        <w:bottom w:val="none" w:sz="0" w:space="0" w:color="auto"/>
        <w:right w:val="none" w:sz="0" w:space="0" w:color="auto"/>
      </w:divBdr>
      <w:divsChild>
        <w:div w:id="690110216">
          <w:marLeft w:val="720"/>
          <w:marRight w:val="720"/>
          <w:marTop w:val="240"/>
          <w:marBottom w:val="240"/>
          <w:divBdr>
            <w:top w:val="none" w:sz="0" w:space="0" w:color="auto"/>
            <w:left w:val="none" w:sz="0" w:space="0" w:color="auto"/>
            <w:bottom w:val="none" w:sz="0" w:space="0" w:color="auto"/>
            <w:right w:val="none" w:sz="0" w:space="0" w:color="auto"/>
          </w:divBdr>
        </w:div>
        <w:div w:id="703141948">
          <w:marLeft w:val="720"/>
          <w:marRight w:val="720"/>
          <w:marTop w:val="240"/>
          <w:marBottom w:val="240"/>
          <w:divBdr>
            <w:top w:val="none" w:sz="0" w:space="0" w:color="auto"/>
            <w:left w:val="none" w:sz="0" w:space="0" w:color="auto"/>
            <w:bottom w:val="none" w:sz="0" w:space="0" w:color="auto"/>
            <w:right w:val="none" w:sz="0" w:space="0" w:color="auto"/>
          </w:divBdr>
        </w:div>
        <w:div w:id="1362514490">
          <w:marLeft w:val="720"/>
          <w:marRight w:val="720"/>
          <w:marTop w:val="240"/>
          <w:marBottom w:val="240"/>
          <w:divBdr>
            <w:top w:val="none" w:sz="0" w:space="0" w:color="auto"/>
            <w:left w:val="none" w:sz="0" w:space="0" w:color="auto"/>
            <w:bottom w:val="none" w:sz="0" w:space="0" w:color="auto"/>
            <w:right w:val="none" w:sz="0" w:space="0" w:color="auto"/>
          </w:divBdr>
        </w:div>
      </w:divsChild>
    </w:div>
    <w:div w:id="599221609">
      <w:bodyDiv w:val="1"/>
      <w:marLeft w:val="0"/>
      <w:marRight w:val="0"/>
      <w:marTop w:val="0"/>
      <w:marBottom w:val="0"/>
      <w:divBdr>
        <w:top w:val="none" w:sz="0" w:space="0" w:color="auto"/>
        <w:left w:val="none" w:sz="0" w:space="0" w:color="auto"/>
        <w:bottom w:val="none" w:sz="0" w:space="0" w:color="auto"/>
        <w:right w:val="none" w:sz="0" w:space="0" w:color="auto"/>
      </w:divBdr>
      <w:divsChild>
        <w:div w:id="1357543193">
          <w:marLeft w:val="-96"/>
          <w:marRight w:val="-96"/>
          <w:marTop w:val="0"/>
          <w:marBottom w:val="120"/>
          <w:divBdr>
            <w:top w:val="none" w:sz="0" w:space="0" w:color="auto"/>
            <w:left w:val="none" w:sz="0" w:space="0" w:color="auto"/>
            <w:bottom w:val="none" w:sz="0" w:space="0" w:color="auto"/>
            <w:right w:val="none" w:sz="0" w:space="0" w:color="auto"/>
          </w:divBdr>
        </w:div>
      </w:divsChild>
    </w:div>
    <w:div w:id="680470703">
      <w:bodyDiv w:val="1"/>
      <w:marLeft w:val="0"/>
      <w:marRight w:val="0"/>
      <w:marTop w:val="0"/>
      <w:marBottom w:val="0"/>
      <w:divBdr>
        <w:top w:val="none" w:sz="0" w:space="0" w:color="auto"/>
        <w:left w:val="none" w:sz="0" w:space="0" w:color="auto"/>
        <w:bottom w:val="none" w:sz="0" w:space="0" w:color="auto"/>
        <w:right w:val="none" w:sz="0" w:space="0" w:color="auto"/>
      </w:divBdr>
    </w:div>
    <w:div w:id="694693515">
      <w:bodyDiv w:val="1"/>
      <w:marLeft w:val="0"/>
      <w:marRight w:val="0"/>
      <w:marTop w:val="0"/>
      <w:marBottom w:val="0"/>
      <w:divBdr>
        <w:top w:val="none" w:sz="0" w:space="0" w:color="auto"/>
        <w:left w:val="none" w:sz="0" w:space="0" w:color="auto"/>
        <w:bottom w:val="none" w:sz="0" w:space="0" w:color="auto"/>
        <w:right w:val="none" w:sz="0" w:space="0" w:color="auto"/>
      </w:divBdr>
    </w:div>
    <w:div w:id="715084767">
      <w:bodyDiv w:val="1"/>
      <w:marLeft w:val="0"/>
      <w:marRight w:val="0"/>
      <w:marTop w:val="0"/>
      <w:marBottom w:val="0"/>
      <w:divBdr>
        <w:top w:val="none" w:sz="0" w:space="0" w:color="auto"/>
        <w:left w:val="none" w:sz="0" w:space="0" w:color="auto"/>
        <w:bottom w:val="none" w:sz="0" w:space="0" w:color="auto"/>
        <w:right w:val="none" w:sz="0" w:space="0" w:color="auto"/>
      </w:divBdr>
      <w:divsChild>
        <w:div w:id="967321723">
          <w:marLeft w:val="0"/>
          <w:marRight w:val="0"/>
          <w:marTop w:val="240"/>
          <w:marBottom w:val="0"/>
          <w:divBdr>
            <w:top w:val="none" w:sz="0" w:space="0" w:color="auto"/>
            <w:left w:val="none" w:sz="0" w:space="0" w:color="auto"/>
            <w:bottom w:val="none" w:sz="0" w:space="0" w:color="auto"/>
            <w:right w:val="none" w:sz="0" w:space="0" w:color="auto"/>
          </w:divBdr>
        </w:div>
        <w:div w:id="2137139310">
          <w:marLeft w:val="0"/>
          <w:marRight w:val="0"/>
          <w:marTop w:val="240"/>
          <w:marBottom w:val="0"/>
          <w:divBdr>
            <w:top w:val="none" w:sz="0" w:space="0" w:color="auto"/>
            <w:left w:val="none" w:sz="0" w:space="0" w:color="auto"/>
            <w:bottom w:val="none" w:sz="0" w:space="0" w:color="auto"/>
            <w:right w:val="none" w:sz="0" w:space="0" w:color="auto"/>
          </w:divBdr>
        </w:div>
      </w:divsChild>
    </w:div>
    <w:div w:id="754518882">
      <w:bodyDiv w:val="1"/>
      <w:marLeft w:val="0"/>
      <w:marRight w:val="0"/>
      <w:marTop w:val="0"/>
      <w:marBottom w:val="0"/>
      <w:divBdr>
        <w:top w:val="none" w:sz="0" w:space="0" w:color="auto"/>
        <w:left w:val="none" w:sz="0" w:space="0" w:color="auto"/>
        <w:bottom w:val="none" w:sz="0" w:space="0" w:color="auto"/>
        <w:right w:val="none" w:sz="0" w:space="0" w:color="auto"/>
      </w:divBdr>
      <w:divsChild>
        <w:div w:id="1552420811">
          <w:marLeft w:val="0"/>
          <w:marRight w:val="0"/>
          <w:marTop w:val="240"/>
          <w:marBottom w:val="240"/>
          <w:divBdr>
            <w:top w:val="single" w:sz="36" w:space="6" w:color="A9ABAE"/>
            <w:left w:val="none" w:sz="0" w:space="0" w:color="auto"/>
            <w:bottom w:val="single" w:sz="36" w:space="6" w:color="A9ABAE"/>
            <w:right w:val="none" w:sz="0" w:space="0" w:color="auto"/>
          </w:divBdr>
          <w:divsChild>
            <w:div w:id="226651740">
              <w:marLeft w:val="-96"/>
              <w:marRight w:val="-96"/>
              <w:marTop w:val="0"/>
              <w:marBottom w:val="120"/>
              <w:divBdr>
                <w:top w:val="none" w:sz="0" w:space="0" w:color="auto"/>
                <w:left w:val="none" w:sz="0" w:space="0" w:color="auto"/>
                <w:bottom w:val="none" w:sz="0" w:space="0" w:color="auto"/>
                <w:right w:val="none" w:sz="0" w:space="0" w:color="auto"/>
              </w:divBdr>
            </w:div>
          </w:divsChild>
        </w:div>
        <w:div w:id="2119641445">
          <w:marLeft w:val="720"/>
          <w:marRight w:val="720"/>
          <w:marTop w:val="240"/>
          <w:marBottom w:val="240"/>
          <w:divBdr>
            <w:top w:val="none" w:sz="0" w:space="0" w:color="auto"/>
            <w:left w:val="none" w:sz="0" w:space="0" w:color="auto"/>
            <w:bottom w:val="none" w:sz="0" w:space="0" w:color="auto"/>
            <w:right w:val="none" w:sz="0" w:space="0" w:color="auto"/>
          </w:divBdr>
        </w:div>
        <w:div w:id="636034415">
          <w:marLeft w:val="720"/>
          <w:marRight w:val="720"/>
          <w:marTop w:val="240"/>
          <w:marBottom w:val="240"/>
          <w:divBdr>
            <w:top w:val="none" w:sz="0" w:space="0" w:color="auto"/>
            <w:left w:val="none" w:sz="0" w:space="0" w:color="auto"/>
            <w:bottom w:val="none" w:sz="0" w:space="0" w:color="auto"/>
            <w:right w:val="none" w:sz="0" w:space="0" w:color="auto"/>
          </w:divBdr>
        </w:div>
      </w:divsChild>
    </w:div>
    <w:div w:id="785122780">
      <w:bodyDiv w:val="1"/>
      <w:marLeft w:val="0"/>
      <w:marRight w:val="0"/>
      <w:marTop w:val="0"/>
      <w:marBottom w:val="0"/>
      <w:divBdr>
        <w:top w:val="none" w:sz="0" w:space="0" w:color="auto"/>
        <w:left w:val="none" w:sz="0" w:space="0" w:color="auto"/>
        <w:bottom w:val="none" w:sz="0" w:space="0" w:color="auto"/>
        <w:right w:val="none" w:sz="0" w:space="0" w:color="auto"/>
      </w:divBdr>
    </w:div>
    <w:div w:id="794105516">
      <w:bodyDiv w:val="1"/>
      <w:marLeft w:val="0"/>
      <w:marRight w:val="0"/>
      <w:marTop w:val="0"/>
      <w:marBottom w:val="0"/>
      <w:divBdr>
        <w:top w:val="none" w:sz="0" w:space="0" w:color="auto"/>
        <w:left w:val="none" w:sz="0" w:space="0" w:color="auto"/>
        <w:bottom w:val="none" w:sz="0" w:space="0" w:color="auto"/>
        <w:right w:val="none" w:sz="0" w:space="0" w:color="auto"/>
      </w:divBdr>
      <w:divsChild>
        <w:div w:id="1407801416">
          <w:marLeft w:val="720"/>
          <w:marRight w:val="720"/>
          <w:marTop w:val="240"/>
          <w:marBottom w:val="240"/>
          <w:divBdr>
            <w:top w:val="none" w:sz="0" w:space="0" w:color="auto"/>
            <w:left w:val="none" w:sz="0" w:space="0" w:color="auto"/>
            <w:bottom w:val="none" w:sz="0" w:space="0" w:color="auto"/>
            <w:right w:val="none" w:sz="0" w:space="0" w:color="auto"/>
          </w:divBdr>
        </w:div>
        <w:div w:id="1770540459">
          <w:marLeft w:val="720"/>
          <w:marRight w:val="720"/>
          <w:marTop w:val="240"/>
          <w:marBottom w:val="240"/>
          <w:divBdr>
            <w:top w:val="none" w:sz="0" w:space="0" w:color="auto"/>
            <w:left w:val="none" w:sz="0" w:space="0" w:color="auto"/>
            <w:bottom w:val="none" w:sz="0" w:space="0" w:color="auto"/>
            <w:right w:val="none" w:sz="0" w:space="0" w:color="auto"/>
          </w:divBdr>
        </w:div>
        <w:div w:id="1186409900">
          <w:marLeft w:val="720"/>
          <w:marRight w:val="720"/>
          <w:marTop w:val="240"/>
          <w:marBottom w:val="240"/>
          <w:divBdr>
            <w:top w:val="none" w:sz="0" w:space="0" w:color="auto"/>
            <w:left w:val="none" w:sz="0" w:space="0" w:color="auto"/>
            <w:bottom w:val="none" w:sz="0" w:space="0" w:color="auto"/>
            <w:right w:val="none" w:sz="0" w:space="0" w:color="auto"/>
          </w:divBdr>
        </w:div>
        <w:div w:id="925576807">
          <w:marLeft w:val="960"/>
          <w:marRight w:val="960"/>
          <w:marTop w:val="240"/>
          <w:marBottom w:val="240"/>
          <w:divBdr>
            <w:top w:val="none" w:sz="0" w:space="0" w:color="auto"/>
            <w:left w:val="none" w:sz="0" w:space="0" w:color="auto"/>
            <w:bottom w:val="none" w:sz="0" w:space="0" w:color="auto"/>
            <w:right w:val="none" w:sz="0" w:space="0" w:color="auto"/>
          </w:divBdr>
        </w:div>
      </w:divsChild>
    </w:div>
    <w:div w:id="800994661">
      <w:bodyDiv w:val="1"/>
      <w:marLeft w:val="0"/>
      <w:marRight w:val="0"/>
      <w:marTop w:val="0"/>
      <w:marBottom w:val="0"/>
      <w:divBdr>
        <w:top w:val="none" w:sz="0" w:space="0" w:color="auto"/>
        <w:left w:val="none" w:sz="0" w:space="0" w:color="auto"/>
        <w:bottom w:val="none" w:sz="0" w:space="0" w:color="auto"/>
        <w:right w:val="none" w:sz="0" w:space="0" w:color="auto"/>
      </w:divBdr>
      <w:divsChild>
        <w:div w:id="1492715788">
          <w:marLeft w:val="0"/>
          <w:marRight w:val="0"/>
          <w:marTop w:val="240"/>
          <w:marBottom w:val="240"/>
          <w:divBdr>
            <w:top w:val="none" w:sz="0" w:space="0" w:color="auto"/>
            <w:left w:val="none" w:sz="0" w:space="0" w:color="auto"/>
            <w:bottom w:val="none" w:sz="0" w:space="0" w:color="auto"/>
            <w:right w:val="none" w:sz="0" w:space="0" w:color="auto"/>
          </w:divBdr>
          <w:divsChild>
            <w:div w:id="196939986">
              <w:marLeft w:val="-72"/>
              <w:marRight w:val="-72"/>
              <w:marTop w:val="0"/>
              <w:marBottom w:val="0"/>
              <w:divBdr>
                <w:top w:val="none" w:sz="0" w:space="0" w:color="auto"/>
                <w:left w:val="none" w:sz="0" w:space="0" w:color="auto"/>
                <w:bottom w:val="none" w:sz="0" w:space="0" w:color="auto"/>
                <w:right w:val="none" w:sz="0" w:space="0" w:color="auto"/>
              </w:divBdr>
            </w:div>
          </w:divsChild>
        </w:div>
        <w:div w:id="1141118651">
          <w:marLeft w:val="0"/>
          <w:marRight w:val="0"/>
          <w:marTop w:val="600"/>
          <w:marBottom w:val="240"/>
          <w:divBdr>
            <w:top w:val="none" w:sz="0" w:space="0" w:color="auto"/>
            <w:left w:val="none" w:sz="0" w:space="0" w:color="auto"/>
            <w:bottom w:val="none" w:sz="0" w:space="0" w:color="auto"/>
            <w:right w:val="none" w:sz="0" w:space="0" w:color="auto"/>
          </w:divBdr>
          <w:divsChild>
            <w:div w:id="320697574">
              <w:marLeft w:val="-72"/>
              <w:marRight w:val="-72"/>
              <w:marTop w:val="0"/>
              <w:marBottom w:val="0"/>
              <w:divBdr>
                <w:top w:val="none" w:sz="0" w:space="0" w:color="auto"/>
                <w:left w:val="none" w:sz="0" w:space="0" w:color="auto"/>
                <w:bottom w:val="none" w:sz="0" w:space="0" w:color="auto"/>
                <w:right w:val="none" w:sz="0" w:space="0" w:color="auto"/>
              </w:divBdr>
            </w:div>
          </w:divsChild>
        </w:div>
        <w:div w:id="1144590895">
          <w:marLeft w:val="0"/>
          <w:marRight w:val="0"/>
          <w:marTop w:val="240"/>
          <w:marBottom w:val="240"/>
          <w:divBdr>
            <w:top w:val="none" w:sz="0" w:space="0" w:color="auto"/>
            <w:left w:val="none" w:sz="0" w:space="0" w:color="auto"/>
            <w:bottom w:val="none" w:sz="0" w:space="0" w:color="auto"/>
            <w:right w:val="none" w:sz="0" w:space="0" w:color="auto"/>
          </w:divBdr>
          <w:divsChild>
            <w:div w:id="80179016">
              <w:marLeft w:val="-72"/>
              <w:marRight w:val="-72"/>
              <w:marTop w:val="0"/>
              <w:marBottom w:val="0"/>
              <w:divBdr>
                <w:top w:val="none" w:sz="0" w:space="0" w:color="auto"/>
                <w:left w:val="none" w:sz="0" w:space="0" w:color="auto"/>
                <w:bottom w:val="none" w:sz="0" w:space="0" w:color="auto"/>
                <w:right w:val="none" w:sz="0" w:space="0" w:color="auto"/>
              </w:divBdr>
            </w:div>
          </w:divsChild>
        </w:div>
        <w:div w:id="348988560">
          <w:blockQuote w:val="1"/>
          <w:marLeft w:val="720"/>
          <w:marRight w:val="0"/>
          <w:marTop w:val="240"/>
          <w:marBottom w:val="240"/>
          <w:divBdr>
            <w:top w:val="none" w:sz="0" w:space="0" w:color="auto"/>
            <w:left w:val="none" w:sz="0" w:space="0" w:color="auto"/>
            <w:bottom w:val="none" w:sz="0" w:space="0" w:color="auto"/>
            <w:right w:val="none" w:sz="0" w:space="0" w:color="auto"/>
          </w:divBdr>
        </w:div>
      </w:divsChild>
    </w:div>
    <w:div w:id="809592928">
      <w:bodyDiv w:val="1"/>
      <w:marLeft w:val="0"/>
      <w:marRight w:val="0"/>
      <w:marTop w:val="0"/>
      <w:marBottom w:val="0"/>
      <w:divBdr>
        <w:top w:val="none" w:sz="0" w:space="0" w:color="auto"/>
        <w:left w:val="none" w:sz="0" w:space="0" w:color="auto"/>
        <w:bottom w:val="none" w:sz="0" w:space="0" w:color="auto"/>
        <w:right w:val="none" w:sz="0" w:space="0" w:color="auto"/>
      </w:divBdr>
      <w:divsChild>
        <w:div w:id="1563953577">
          <w:marLeft w:val="720"/>
          <w:marRight w:val="720"/>
          <w:marTop w:val="240"/>
          <w:marBottom w:val="240"/>
          <w:divBdr>
            <w:top w:val="none" w:sz="0" w:space="0" w:color="auto"/>
            <w:left w:val="none" w:sz="0" w:space="0" w:color="auto"/>
            <w:bottom w:val="none" w:sz="0" w:space="0" w:color="auto"/>
            <w:right w:val="none" w:sz="0" w:space="0" w:color="auto"/>
          </w:divBdr>
        </w:div>
      </w:divsChild>
    </w:div>
    <w:div w:id="837967673">
      <w:bodyDiv w:val="1"/>
      <w:marLeft w:val="0"/>
      <w:marRight w:val="0"/>
      <w:marTop w:val="0"/>
      <w:marBottom w:val="0"/>
      <w:divBdr>
        <w:top w:val="none" w:sz="0" w:space="0" w:color="auto"/>
        <w:left w:val="none" w:sz="0" w:space="0" w:color="auto"/>
        <w:bottom w:val="none" w:sz="0" w:space="0" w:color="auto"/>
        <w:right w:val="none" w:sz="0" w:space="0" w:color="auto"/>
      </w:divBdr>
      <w:divsChild>
        <w:div w:id="1419863490">
          <w:marLeft w:val="0"/>
          <w:marRight w:val="0"/>
          <w:marTop w:val="240"/>
          <w:marBottom w:val="0"/>
          <w:divBdr>
            <w:top w:val="none" w:sz="0" w:space="0" w:color="auto"/>
            <w:left w:val="none" w:sz="0" w:space="0" w:color="auto"/>
            <w:bottom w:val="none" w:sz="0" w:space="0" w:color="auto"/>
            <w:right w:val="none" w:sz="0" w:space="0" w:color="auto"/>
          </w:divBdr>
        </w:div>
        <w:div w:id="2041540632">
          <w:marLeft w:val="720"/>
          <w:marRight w:val="720"/>
          <w:marTop w:val="240"/>
          <w:marBottom w:val="240"/>
          <w:divBdr>
            <w:top w:val="none" w:sz="0" w:space="0" w:color="auto"/>
            <w:left w:val="none" w:sz="0" w:space="0" w:color="auto"/>
            <w:bottom w:val="none" w:sz="0" w:space="0" w:color="auto"/>
            <w:right w:val="none" w:sz="0" w:space="0" w:color="auto"/>
          </w:divBdr>
        </w:div>
        <w:div w:id="1762409798">
          <w:marLeft w:val="720"/>
          <w:marRight w:val="720"/>
          <w:marTop w:val="240"/>
          <w:marBottom w:val="240"/>
          <w:divBdr>
            <w:top w:val="none" w:sz="0" w:space="0" w:color="auto"/>
            <w:left w:val="none" w:sz="0" w:space="0" w:color="auto"/>
            <w:bottom w:val="none" w:sz="0" w:space="0" w:color="auto"/>
            <w:right w:val="none" w:sz="0" w:space="0" w:color="auto"/>
          </w:divBdr>
        </w:div>
      </w:divsChild>
    </w:div>
    <w:div w:id="860708312">
      <w:bodyDiv w:val="1"/>
      <w:marLeft w:val="0"/>
      <w:marRight w:val="0"/>
      <w:marTop w:val="0"/>
      <w:marBottom w:val="0"/>
      <w:divBdr>
        <w:top w:val="none" w:sz="0" w:space="0" w:color="auto"/>
        <w:left w:val="none" w:sz="0" w:space="0" w:color="auto"/>
        <w:bottom w:val="none" w:sz="0" w:space="0" w:color="auto"/>
        <w:right w:val="none" w:sz="0" w:space="0" w:color="auto"/>
      </w:divBdr>
    </w:div>
    <w:div w:id="919676734">
      <w:bodyDiv w:val="1"/>
      <w:marLeft w:val="0"/>
      <w:marRight w:val="0"/>
      <w:marTop w:val="0"/>
      <w:marBottom w:val="0"/>
      <w:divBdr>
        <w:top w:val="none" w:sz="0" w:space="0" w:color="auto"/>
        <w:left w:val="none" w:sz="0" w:space="0" w:color="auto"/>
        <w:bottom w:val="none" w:sz="0" w:space="0" w:color="auto"/>
        <w:right w:val="none" w:sz="0" w:space="0" w:color="auto"/>
      </w:divBdr>
      <w:divsChild>
        <w:div w:id="1354501289">
          <w:marLeft w:val="720"/>
          <w:marRight w:val="720"/>
          <w:marTop w:val="240"/>
          <w:marBottom w:val="240"/>
          <w:divBdr>
            <w:top w:val="none" w:sz="0" w:space="0" w:color="auto"/>
            <w:left w:val="none" w:sz="0" w:space="0" w:color="auto"/>
            <w:bottom w:val="none" w:sz="0" w:space="0" w:color="auto"/>
            <w:right w:val="none" w:sz="0" w:space="0" w:color="auto"/>
          </w:divBdr>
        </w:div>
      </w:divsChild>
    </w:div>
    <w:div w:id="971981141">
      <w:bodyDiv w:val="1"/>
      <w:marLeft w:val="0"/>
      <w:marRight w:val="0"/>
      <w:marTop w:val="0"/>
      <w:marBottom w:val="0"/>
      <w:divBdr>
        <w:top w:val="none" w:sz="0" w:space="0" w:color="auto"/>
        <w:left w:val="none" w:sz="0" w:space="0" w:color="auto"/>
        <w:bottom w:val="none" w:sz="0" w:space="0" w:color="auto"/>
        <w:right w:val="none" w:sz="0" w:space="0" w:color="auto"/>
      </w:divBdr>
      <w:divsChild>
        <w:div w:id="1416517372">
          <w:marLeft w:val="0"/>
          <w:marRight w:val="0"/>
          <w:marTop w:val="240"/>
          <w:marBottom w:val="240"/>
          <w:divBdr>
            <w:top w:val="none" w:sz="0" w:space="0" w:color="auto"/>
            <w:left w:val="none" w:sz="0" w:space="0" w:color="auto"/>
            <w:bottom w:val="none" w:sz="0" w:space="0" w:color="auto"/>
            <w:right w:val="none" w:sz="0" w:space="0" w:color="auto"/>
          </w:divBdr>
          <w:divsChild>
            <w:div w:id="144132690">
              <w:marLeft w:val="-72"/>
              <w:marRight w:val="-72"/>
              <w:marTop w:val="0"/>
              <w:marBottom w:val="0"/>
              <w:divBdr>
                <w:top w:val="none" w:sz="0" w:space="0" w:color="auto"/>
                <w:left w:val="none" w:sz="0" w:space="0" w:color="auto"/>
                <w:bottom w:val="none" w:sz="0" w:space="0" w:color="auto"/>
                <w:right w:val="none" w:sz="0" w:space="0" w:color="auto"/>
              </w:divBdr>
            </w:div>
          </w:divsChild>
        </w:div>
        <w:div w:id="329212388">
          <w:marLeft w:val="0"/>
          <w:marRight w:val="0"/>
          <w:marTop w:val="600"/>
          <w:marBottom w:val="240"/>
          <w:divBdr>
            <w:top w:val="none" w:sz="0" w:space="0" w:color="auto"/>
            <w:left w:val="none" w:sz="0" w:space="0" w:color="auto"/>
            <w:bottom w:val="none" w:sz="0" w:space="0" w:color="auto"/>
            <w:right w:val="none" w:sz="0" w:space="0" w:color="auto"/>
          </w:divBdr>
          <w:divsChild>
            <w:div w:id="352341805">
              <w:marLeft w:val="-72"/>
              <w:marRight w:val="-72"/>
              <w:marTop w:val="0"/>
              <w:marBottom w:val="0"/>
              <w:divBdr>
                <w:top w:val="none" w:sz="0" w:space="0" w:color="auto"/>
                <w:left w:val="none" w:sz="0" w:space="0" w:color="auto"/>
                <w:bottom w:val="none" w:sz="0" w:space="0" w:color="auto"/>
                <w:right w:val="none" w:sz="0" w:space="0" w:color="auto"/>
              </w:divBdr>
            </w:div>
          </w:divsChild>
        </w:div>
        <w:div w:id="1399546915">
          <w:marLeft w:val="0"/>
          <w:marRight w:val="0"/>
          <w:marTop w:val="240"/>
          <w:marBottom w:val="240"/>
          <w:divBdr>
            <w:top w:val="none" w:sz="0" w:space="0" w:color="auto"/>
            <w:left w:val="none" w:sz="0" w:space="0" w:color="auto"/>
            <w:bottom w:val="none" w:sz="0" w:space="0" w:color="auto"/>
            <w:right w:val="none" w:sz="0" w:space="0" w:color="auto"/>
          </w:divBdr>
          <w:divsChild>
            <w:div w:id="2085758410">
              <w:marLeft w:val="-72"/>
              <w:marRight w:val="-72"/>
              <w:marTop w:val="0"/>
              <w:marBottom w:val="0"/>
              <w:divBdr>
                <w:top w:val="none" w:sz="0" w:space="0" w:color="auto"/>
                <w:left w:val="none" w:sz="0" w:space="0" w:color="auto"/>
                <w:bottom w:val="none" w:sz="0" w:space="0" w:color="auto"/>
                <w:right w:val="none" w:sz="0" w:space="0" w:color="auto"/>
              </w:divBdr>
            </w:div>
          </w:divsChild>
        </w:div>
        <w:div w:id="878978844">
          <w:blockQuote w:val="1"/>
          <w:marLeft w:val="720"/>
          <w:marRight w:val="0"/>
          <w:marTop w:val="240"/>
          <w:marBottom w:val="240"/>
          <w:divBdr>
            <w:top w:val="none" w:sz="0" w:space="0" w:color="auto"/>
            <w:left w:val="none" w:sz="0" w:space="0" w:color="auto"/>
            <w:bottom w:val="none" w:sz="0" w:space="0" w:color="auto"/>
            <w:right w:val="none" w:sz="0" w:space="0" w:color="auto"/>
          </w:divBdr>
        </w:div>
        <w:div w:id="1764261324">
          <w:marLeft w:val="0"/>
          <w:marRight w:val="0"/>
          <w:marTop w:val="240"/>
          <w:marBottom w:val="0"/>
          <w:divBdr>
            <w:top w:val="none" w:sz="0" w:space="0" w:color="auto"/>
            <w:left w:val="none" w:sz="0" w:space="0" w:color="auto"/>
            <w:bottom w:val="none" w:sz="0" w:space="0" w:color="auto"/>
            <w:right w:val="none" w:sz="0" w:space="0" w:color="auto"/>
          </w:divBdr>
        </w:div>
      </w:divsChild>
    </w:div>
    <w:div w:id="975918556">
      <w:bodyDiv w:val="1"/>
      <w:marLeft w:val="0"/>
      <w:marRight w:val="0"/>
      <w:marTop w:val="0"/>
      <w:marBottom w:val="0"/>
      <w:divBdr>
        <w:top w:val="none" w:sz="0" w:space="0" w:color="auto"/>
        <w:left w:val="none" w:sz="0" w:space="0" w:color="auto"/>
        <w:bottom w:val="none" w:sz="0" w:space="0" w:color="auto"/>
        <w:right w:val="none" w:sz="0" w:space="0" w:color="auto"/>
      </w:divBdr>
      <w:divsChild>
        <w:div w:id="885407763">
          <w:marLeft w:val="0"/>
          <w:marRight w:val="0"/>
          <w:marTop w:val="240"/>
          <w:marBottom w:val="0"/>
          <w:divBdr>
            <w:top w:val="none" w:sz="0" w:space="0" w:color="auto"/>
            <w:left w:val="none" w:sz="0" w:space="0" w:color="auto"/>
            <w:bottom w:val="none" w:sz="0" w:space="0" w:color="auto"/>
            <w:right w:val="none" w:sz="0" w:space="0" w:color="auto"/>
          </w:divBdr>
        </w:div>
        <w:div w:id="615527032">
          <w:marLeft w:val="720"/>
          <w:marRight w:val="720"/>
          <w:marTop w:val="240"/>
          <w:marBottom w:val="240"/>
          <w:divBdr>
            <w:top w:val="none" w:sz="0" w:space="0" w:color="auto"/>
            <w:left w:val="none" w:sz="0" w:space="0" w:color="auto"/>
            <w:bottom w:val="none" w:sz="0" w:space="0" w:color="auto"/>
            <w:right w:val="none" w:sz="0" w:space="0" w:color="auto"/>
          </w:divBdr>
        </w:div>
      </w:divsChild>
    </w:div>
    <w:div w:id="1019312788">
      <w:bodyDiv w:val="1"/>
      <w:marLeft w:val="0"/>
      <w:marRight w:val="0"/>
      <w:marTop w:val="0"/>
      <w:marBottom w:val="0"/>
      <w:divBdr>
        <w:top w:val="none" w:sz="0" w:space="0" w:color="auto"/>
        <w:left w:val="none" w:sz="0" w:space="0" w:color="auto"/>
        <w:bottom w:val="none" w:sz="0" w:space="0" w:color="auto"/>
        <w:right w:val="none" w:sz="0" w:space="0" w:color="auto"/>
      </w:divBdr>
      <w:divsChild>
        <w:div w:id="1554197771">
          <w:marLeft w:val="0"/>
          <w:marRight w:val="0"/>
          <w:marTop w:val="240"/>
          <w:marBottom w:val="0"/>
          <w:divBdr>
            <w:top w:val="none" w:sz="0" w:space="0" w:color="auto"/>
            <w:left w:val="none" w:sz="0" w:space="0" w:color="auto"/>
            <w:bottom w:val="none" w:sz="0" w:space="0" w:color="auto"/>
            <w:right w:val="none" w:sz="0" w:space="0" w:color="auto"/>
          </w:divBdr>
        </w:div>
        <w:div w:id="447626430">
          <w:marLeft w:val="720"/>
          <w:marRight w:val="720"/>
          <w:marTop w:val="240"/>
          <w:marBottom w:val="240"/>
          <w:divBdr>
            <w:top w:val="none" w:sz="0" w:space="0" w:color="auto"/>
            <w:left w:val="none" w:sz="0" w:space="0" w:color="auto"/>
            <w:bottom w:val="none" w:sz="0" w:space="0" w:color="auto"/>
            <w:right w:val="none" w:sz="0" w:space="0" w:color="auto"/>
          </w:divBdr>
        </w:div>
        <w:div w:id="1512255032">
          <w:marLeft w:val="720"/>
          <w:marRight w:val="720"/>
          <w:marTop w:val="240"/>
          <w:marBottom w:val="240"/>
          <w:divBdr>
            <w:top w:val="none" w:sz="0" w:space="0" w:color="auto"/>
            <w:left w:val="none" w:sz="0" w:space="0" w:color="auto"/>
            <w:bottom w:val="none" w:sz="0" w:space="0" w:color="auto"/>
            <w:right w:val="none" w:sz="0" w:space="0" w:color="auto"/>
          </w:divBdr>
        </w:div>
        <w:div w:id="542324231">
          <w:marLeft w:val="720"/>
          <w:marRight w:val="720"/>
          <w:marTop w:val="240"/>
          <w:marBottom w:val="240"/>
          <w:divBdr>
            <w:top w:val="none" w:sz="0" w:space="0" w:color="auto"/>
            <w:left w:val="none" w:sz="0" w:space="0" w:color="auto"/>
            <w:bottom w:val="none" w:sz="0" w:space="0" w:color="auto"/>
            <w:right w:val="none" w:sz="0" w:space="0" w:color="auto"/>
          </w:divBdr>
        </w:div>
      </w:divsChild>
    </w:div>
    <w:div w:id="1033384385">
      <w:bodyDiv w:val="1"/>
      <w:marLeft w:val="0"/>
      <w:marRight w:val="0"/>
      <w:marTop w:val="0"/>
      <w:marBottom w:val="0"/>
      <w:divBdr>
        <w:top w:val="none" w:sz="0" w:space="0" w:color="auto"/>
        <w:left w:val="none" w:sz="0" w:space="0" w:color="auto"/>
        <w:bottom w:val="none" w:sz="0" w:space="0" w:color="auto"/>
        <w:right w:val="none" w:sz="0" w:space="0" w:color="auto"/>
      </w:divBdr>
      <w:divsChild>
        <w:div w:id="2080977543">
          <w:marLeft w:val="720"/>
          <w:marRight w:val="720"/>
          <w:marTop w:val="240"/>
          <w:marBottom w:val="240"/>
          <w:divBdr>
            <w:top w:val="none" w:sz="0" w:space="0" w:color="auto"/>
            <w:left w:val="none" w:sz="0" w:space="0" w:color="auto"/>
            <w:bottom w:val="none" w:sz="0" w:space="0" w:color="auto"/>
            <w:right w:val="none" w:sz="0" w:space="0" w:color="auto"/>
          </w:divBdr>
        </w:div>
        <w:div w:id="1807510021">
          <w:marLeft w:val="0"/>
          <w:marRight w:val="0"/>
          <w:marTop w:val="600"/>
          <w:marBottom w:val="240"/>
          <w:divBdr>
            <w:top w:val="single" w:sz="36" w:space="6" w:color="E1E2E3"/>
            <w:left w:val="none" w:sz="0" w:space="0" w:color="auto"/>
            <w:bottom w:val="single" w:sz="36" w:space="6" w:color="E1E2E3"/>
            <w:right w:val="none" w:sz="0" w:space="0" w:color="auto"/>
          </w:divBdr>
          <w:divsChild>
            <w:div w:id="233321989">
              <w:marLeft w:val="-96"/>
              <w:marRight w:val="-96"/>
              <w:marTop w:val="0"/>
              <w:marBottom w:val="120"/>
              <w:divBdr>
                <w:top w:val="none" w:sz="0" w:space="0" w:color="auto"/>
                <w:left w:val="none" w:sz="0" w:space="0" w:color="auto"/>
                <w:bottom w:val="none" w:sz="0" w:space="0" w:color="auto"/>
                <w:right w:val="none" w:sz="0" w:space="0" w:color="auto"/>
              </w:divBdr>
            </w:div>
          </w:divsChild>
        </w:div>
        <w:div w:id="1953436328">
          <w:marLeft w:val="960"/>
          <w:marRight w:val="960"/>
          <w:marTop w:val="240"/>
          <w:marBottom w:val="240"/>
          <w:divBdr>
            <w:top w:val="none" w:sz="0" w:space="0" w:color="auto"/>
            <w:left w:val="none" w:sz="0" w:space="0" w:color="auto"/>
            <w:bottom w:val="none" w:sz="0" w:space="0" w:color="auto"/>
            <w:right w:val="none" w:sz="0" w:space="0" w:color="auto"/>
          </w:divBdr>
        </w:div>
      </w:divsChild>
    </w:div>
    <w:div w:id="1049263229">
      <w:bodyDiv w:val="1"/>
      <w:marLeft w:val="0"/>
      <w:marRight w:val="0"/>
      <w:marTop w:val="0"/>
      <w:marBottom w:val="0"/>
      <w:divBdr>
        <w:top w:val="none" w:sz="0" w:space="0" w:color="auto"/>
        <w:left w:val="none" w:sz="0" w:space="0" w:color="auto"/>
        <w:bottom w:val="none" w:sz="0" w:space="0" w:color="auto"/>
        <w:right w:val="none" w:sz="0" w:space="0" w:color="auto"/>
      </w:divBdr>
      <w:divsChild>
        <w:div w:id="987633180">
          <w:marLeft w:val="0"/>
          <w:marRight w:val="0"/>
          <w:marTop w:val="240"/>
          <w:marBottom w:val="0"/>
          <w:divBdr>
            <w:top w:val="none" w:sz="0" w:space="0" w:color="auto"/>
            <w:left w:val="none" w:sz="0" w:space="0" w:color="auto"/>
            <w:bottom w:val="none" w:sz="0" w:space="0" w:color="auto"/>
            <w:right w:val="none" w:sz="0" w:space="0" w:color="auto"/>
          </w:divBdr>
        </w:div>
      </w:divsChild>
    </w:div>
    <w:div w:id="1154568633">
      <w:bodyDiv w:val="1"/>
      <w:marLeft w:val="0"/>
      <w:marRight w:val="0"/>
      <w:marTop w:val="0"/>
      <w:marBottom w:val="0"/>
      <w:divBdr>
        <w:top w:val="none" w:sz="0" w:space="0" w:color="auto"/>
        <w:left w:val="none" w:sz="0" w:space="0" w:color="auto"/>
        <w:bottom w:val="none" w:sz="0" w:space="0" w:color="auto"/>
        <w:right w:val="none" w:sz="0" w:space="0" w:color="auto"/>
      </w:divBdr>
      <w:divsChild>
        <w:div w:id="1427189538">
          <w:marLeft w:val="-120"/>
          <w:marRight w:val="-120"/>
          <w:marTop w:val="0"/>
          <w:marBottom w:val="120"/>
          <w:divBdr>
            <w:top w:val="none" w:sz="0" w:space="0" w:color="auto"/>
            <w:left w:val="none" w:sz="0" w:space="0" w:color="auto"/>
            <w:bottom w:val="none" w:sz="0" w:space="0" w:color="auto"/>
            <w:right w:val="none" w:sz="0" w:space="0" w:color="auto"/>
          </w:divBdr>
        </w:div>
      </w:divsChild>
    </w:div>
    <w:div w:id="1230464180">
      <w:bodyDiv w:val="1"/>
      <w:marLeft w:val="0"/>
      <w:marRight w:val="0"/>
      <w:marTop w:val="0"/>
      <w:marBottom w:val="0"/>
      <w:divBdr>
        <w:top w:val="none" w:sz="0" w:space="0" w:color="auto"/>
        <w:left w:val="none" w:sz="0" w:space="0" w:color="auto"/>
        <w:bottom w:val="none" w:sz="0" w:space="0" w:color="auto"/>
        <w:right w:val="none" w:sz="0" w:space="0" w:color="auto"/>
      </w:divBdr>
      <w:divsChild>
        <w:div w:id="1620913905">
          <w:marLeft w:val="0"/>
          <w:marRight w:val="0"/>
          <w:marTop w:val="600"/>
          <w:marBottom w:val="240"/>
          <w:divBdr>
            <w:top w:val="single" w:sz="36" w:space="6" w:color="E1E2E3"/>
            <w:left w:val="none" w:sz="0" w:space="0" w:color="auto"/>
            <w:bottom w:val="single" w:sz="36" w:space="6" w:color="E1E2E3"/>
            <w:right w:val="none" w:sz="0" w:space="0" w:color="auto"/>
          </w:divBdr>
          <w:divsChild>
            <w:div w:id="1383675890">
              <w:marLeft w:val="-96"/>
              <w:marRight w:val="-96"/>
              <w:marTop w:val="0"/>
              <w:marBottom w:val="120"/>
              <w:divBdr>
                <w:top w:val="none" w:sz="0" w:space="0" w:color="auto"/>
                <w:left w:val="none" w:sz="0" w:space="0" w:color="auto"/>
                <w:bottom w:val="none" w:sz="0" w:space="0" w:color="auto"/>
                <w:right w:val="none" w:sz="0" w:space="0" w:color="auto"/>
              </w:divBdr>
            </w:div>
          </w:divsChild>
        </w:div>
        <w:div w:id="1984698274">
          <w:marLeft w:val="720"/>
          <w:marRight w:val="720"/>
          <w:marTop w:val="240"/>
          <w:marBottom w:val="240"/>
          <w:divBdr>
            <w:top w:val="none" w:sz="0" w:space="0" w:color="auto"/>
            <w:left w:val="none" w:sz="0" w:space="0" w:color="auto"/>
            <w:bottom w:val="none" w:sz="0" w:space="0" w:color="auto"/>
            <w:right w:val="none" w:sz="0" w:space="0" w:color="auto"/>
          </w:divBdr>
        </w:div>
        <w:div w:id="860095850">
          <w:marLeft w:val="960"/>
          <w:marRight w:val="960"/>
          <w:marTop w:val="240"/>
          <w:marBottom w:val="240"/>
          <w:divBdr>
            <w:top w:val="none" w:sz="0" w:space="0" w:color="auto"/>
            <w:left w:val="none" w:sz="0" w:space="0" w:color="auto"/>
            <w:bottom w:val="none" w:sz="0" w:space="0" w:color="auto"/>
            <w:right w:val="none" w:sz="0" w:space="0" w:color="auto"/>
          </w:divBdr>
        </w:div>
      </w:divsChild>
    </w:div>
    <w:div w:id="1290555633">
      <w:bodyDiv w:val="1"/>
      <w:marLeft w:val="0"/>
      <w:marRight w:val="0"/>
      <w:marTop w:val="0"/>
      <w:marBottom w:val="0"/>
      <w:divBdr>
        <w:top w:val="none" w:sz="0" w:space="0" w:color="auto"/>
        <w:left w:val="none" w:sz="0" w:space="0" w:color="auto"/>
        <w:bottom w:val="none" w:sz="0" w:space="0" w:color="auto"/>
        <w:right w:val="none" w:sz="0" w:space="0" w:color="auto"/>
      </w:divBdr>
      <w:divsChild>
        <w:div w:id="2058165743">
          <w:marLeft w:val="720"/>
          <w:marRight w:val="720"/>
          <w:marTop w:val="240"/>
          <w:marBottom w:val="240"/>
          <w:divBdr>
            <w:top w:val="none" w:sz="0" w:space="0" w:color="auto"/>
            <w:left w:val="none" w:sz="0" w:space="0" w:color="auto"/>
            <w:bottom w:val="none" w:sz="0" w:space="0" w:color="auto"/>
            <w:right w:val="none" w:sz="0" w:space="0" w:color="auto"/>
          </w:divBdr>
        </w:div>
        <w:div w:id="1653023008">
          <w:marLeft w:val="720"/>
          <w:marRight w:val="720"/>
          <w:marTop w:val="240"/>
          <w:marBottom w:val="240"/>
          <w:divBdr>
            <w:top w:val="none" w:sz="0" w:space="0" w:color="auto"/>
            <w:left w:val="none" w:sz="0" w:space="0" w:color="auto"/>
            <w:bottom w:val="none" w:sz="0" w:space="0" w:color="auto"/>
            <w:right w:val="none" w:sz="0" w:space="0" w:color="auto"/>
          </w:divBdr>
        </w:div>
      </w:divsChild>
    </w:div>
    <w:div w:id="1394043679">
      <w:bodyDiv w:val="1"/>
      <w:marLeft w:val="0"/>
      <w:marRight w:val="0"/>
      <w:marTop w:val="0"/>
      <w:marBottom w:val="0"/>
      <w:divBdr>
        <w:top w:val="none" w:sz="0" w:space="0" w:color="auto"/>
        <w:left w:val="none" w:sz="0" w:space="0" w:color="auto"/>
        <w:bottom w:val="none" w:sz="0" w:space="0" w:color="auto"/>
        <w:right w:val="none" w:sz="0" w:space="0" w:color="auto"/>
      </w:divBdr>
      <w:divsChild>
        <w:div w:id="1727993553">
          <w:marLeft w:val="0"/>
          <w:marRight w:val="0"/>
          <w:marTop w:val="240"/>
          <w:marBottom w:val="0"/>
          <w:divBdr>
            <w:top w:val="none" w:sz="0" w:space="0" w:color="auto"/>
            <w:left w:val="none" w:sz="0" w:space="0" w:color="auto"/>
            <w:bottom w:val="none" w:sz="0" w:space="0" w:color="auto"/>
            <w:right w:val="none" w:sz="0" w:space="0" w:color="auto"/>
          </w:divBdr>
        </w:div>
        <w:div w:id="1468476099">
          <w:marLeft w:val="0"/>
          <w:marRight w:val="0"/>
          <w:marTop w:val="600"/>
          <w:marBottom w:val="240"/>
          <w:divBdr>
            <w:top w:val="single" w:sz="36" w:space="6" w:color="E1E2E3"/>
            <w:left w:val="none" w:sz="0" w:space="0" w:color="auto"/>
            <w:bottom w:val="single" w:sz="36" w:space="6" w:color="E1E2E3"/>
            <w:right w:val="none" w:sz="0" w:space="0" w:color="auto"/>
          </w:divBdr>
          <w:divsChild>
            <w:div w:id="1843086433">
              <w:marLeft w:val="-96"/>
              <w:marRight w:val="-96"/>
              <w:marTop w:val="0"/>
              <w:marBottom w:val="120"/>
              <w:divBdr>
                <w:top w:val="none" w:sz="0" w:space="0" w:color="auto"/>
                <w:left w:val="none" w:sz="0" w:space="0" w:color="auto"/>
                <w:bottom w:val="none" w:sz="0" w:space="0" w:color="auto"/>
                <w:right w:val="none" w:sz="0" w:space="0" w:color="auto"/>
              </w:divBdr>
            </w:div>
          </w:divsChild>
        </w:div>
        <w:div w:id="101800021">
          <w:marLeft w:val="720"/>
          <w:marRight w:val="720"/>
          <w:marTop w:val="240"/>
          <w:marBottom w:val="240"/>
          <w:divBdr>
            <w:top w:val="none" w:sz="0" w:space="0" w:color="auto"/>
            <w:left w:val="none" w:sz="0" w:space="0" w:color="auto"/>
            <w:bottom w:val="none" w:sz="0" w:space="0" w:color="auto"/>
            <w:right w:val="none" w:sz="0" w:space="0" w:color="auto"/>
          </w:divBdr>
        </w:div>
        <w:div w:id="1489057231">
          <w:marLeft w:val="720"/>
          <w:marRight w:val="720"/>
          <w:marTop w:val="240"/>
          <w:marBottom w:val="240"/>
          <w:divBdr>
            <w:top w:val="none" w:sz="0" w:space="0" w:color="auto"/>
            <w:left w:val="none" w:sz="0" w:space="0" w:color="auto"/>
            <w:bottom w:val="none" w:sz="0" w:space="0" w:color="auto"/>
            <w:right w:val="none" w:sz="0" w:space="0" w:color="auto"/>
          </w:divBdr>
        </w:div>
      </w:divsChild>
    </w:div>
    <w:div w:id="1430388986">
      <w:bodyDiv w:val="1"/>
      <w:marLeft w:val="0"/>
      <w:marRight w:val="0"/>
      <w:marTop w:val="0"/>
      <w:marBottom w:val="0"/>
      <w:divBdr>
        <w:top w:val="none" w:sz="0" w:space="0" w:color="auto"/>
        <w:left w:val="none" w:sz="0" w:space="0" w:color="auto"/>
        <w:bottom w:val="none" w:sz="0" w:space="0" w:color="auto"/>
        <w:right w:val="none" w:sz="0" w:space="0" w:color="auto"/>
      </w:divBdr>
    </w:div>
    <w:div w:id="1645811216">
      <w:bodyDiv w:val="1"/>
      <w:marLeft w:val="0"/>
      <w:marRight w:val="0"/>
      <w:marTop w:val="0"/>
      <w:marBottom w:val="0"/>
      <w:divBdr>
        <w:top w:val="none" w:sz="0" w:space="0" w:color="auto"/>
        <w:left w:val="none" w:sz="0" w:space="0" w:color="auto"/>
        <w:bottom w:val="none" w:sz="0" w:space="0" w:color="auto"/>
        <w:right w:val="none" w:sz="0" w:space="0" w:color="auto"/>
      </w:divBdr>
      <w:divsChild>
        <w:div w:id="704524718">
          <w:marLeft w:val="720"/>
          <w:marRight w:val="720"/>
          <w:marTop w:val="240"/>
          <w:marBottom w:val="240"/>
          <w:divBdr>
            <w:top w:val="none" w:sz="0" w:space="0" w:color="auto"/>
            <w:left w:val="none" w:sz="0" w:space="0" w:color="auto"/>
            <w:bottom w:val="none" w:sz="0" w:space="0" w:color="auto"/>
            <w:right w:val="none" w:sz="0" w:space="0" w:color="auto"/>
          </w:divBdr>
        </w:div>
        <w:div w:id="1736973133">
          <w:marLeft w:val="720"/>
          <w:marRight w:val="720"/>
          <w:marTop w:val="240"/>
          <w:marBottom w:val="240"/>
          <w:divBdr>
            <w:top w:val="none" w:sz="0" w:space="0" w:color="auto"/>
            <w:left w:val="none" w:sz="0" w:space="0" w:color="auto"/>
            <w:bottom w:val="none" w:sz="0" w:space="0" w:color="auto"/>
            <w:right w:val="none" w:sz="0" w:space="0" w:color="auto"/>
          </w:divBdr>
        </w:div>
      </w:divsChild>
    </w:div>
    <w:div w:id="1757434622">
      <w:bodyDiv w:val="1"/>
      <w:marLeft w:val="0"/>
      <w:marRight w:val="0"/>
      <w:marTop w:val="0"/>
      <w:marBottom w:val="0"/>
      <w:divBdr>
        <w:top w:val="none" w:sz="0" w:space="0" w:color="auto"/>
        <w:left w:val="none" w:sz="0" w:space="0" w:color="auto"/>
        <w:bottom w:val="none" w:sz="0" w:space="0" w:color="auto"/>
        <w:right w:val="none" w:sz="0" w:space="0" w:color="auto"/>
      </w:divBdr>
    </w:div>
    <w:div w:id="1798067987">
      <w:bodyDiv w:val="1"/>
      <w:marLeft w:val="0"/>
      <w:marRight w:val="0"/>
      <w:marTop w:val="0"/>
      <w:marBottom w:val="0"/>
      <w:divBdr>
        <w:top w:val="none" w:sz="0" w:space="0" w:color="auto"/>
        <w:left w:val="none" w:sz="0" w:space="0" w:color="auto"/>
        <w:bottom w:val="none" w:sz="0" w:space="0" w:color="auto"/>
        <w:right w:val="none" w:sz="0" w:space="0" w:color="auto"/>
      </w:divBdr>
    </w:div>
    <w:div w:id="1812751520">
      <w:bodyDiv w:val="1"/>
      <w:marLeft w:val="0"/>
      <w:marRight w:val="0"/>
      <w:marTop w:val="0"/>
      <w:marBottom w:val="0"/>
      <w:divBdr>
        <w:top w:val="none" w:sz="0" w:space="0" w:color="auto"/>
        <w:left w:val="none" w:sz="0" w:space="0" w:color="auto"/>
        <w:bottom w:val="none" w:sz="0" w:space="0" w:color="auto"/>
        <w:right w:val="none" w:sz="0" w:space="0" w:color="auto"/>
      </w:divBdr>
      <w:divsChild>
        <w:div w:id="880364544">
          <w:marLeft w:val="0"/>
          <w:marRight w:val="0"/>
          <w:marTop w:val="240"/>
          <w:marBottom w:val="0"/>
          <w:divBdr>
            <w:top w:val="none" w:sz="0" w:space="0" w:color="auto"/>
            <w:left w:val="none" w:sz="0" w:space="0" w:color="auto"/>
            <w:bottom w:val="none" w:sz="0" w:space="0" w:color="auto"/>
            <w:right w:val="none" w:sz="0" w:space="0" w:color="auto"/>
          </w:divBdr>
        </w:div>
        <w:div w:id="1005327965">
          <w:marLeft w:val="720"/>
          <w:marRight w:val="720"/>
          <w:marTop w:val="240"/>
          <w:marBottom w:val="240"/>
          <w:divBdr>
            <w:top w:val="none" w:sz="0" w:space="0" w:color="auto"/>
            <w:left w:val="none" w:sz="0" w:space="0" w:color="auto"/>
            <w:bottom w:val="none" w:sz="0" w:space="0" w:color="auto"/>
            <w:right w:val="none" w:sz="0" w:space="0" w:color="auto"/>
          </w:divBdr>
        </w:div>
        <w:div w:id="1942451274">
          <w:marLeft w:val="720"/>
          <w:marRight w:val="720"/>
          <w:marTop w:val="240"/>
          <w:marBottom w:val="240"/>
          <w:divBdr>
            <w:top w:val="none" w:sz="0" w:space="0" w:color="auto"/>
            <w:left w:val="none" w:sz="0" w:space="0" w:color="auto"/>
            <w:bottom w:val="none" w:sz="0" w:space="0" w:color="auto"/>
            <w:right w:val="none" w:sz="0" w:space="0" w:color="auto"/>
          </w:divBdr>
        </w:div>
      </w:divsChild>
    </w:div>
    <w:div w:id="1873306057">
      <w:bodyDiv w:val="1"/>
      <w:marLeft w:val="0"/>
      <w:marRight w:val="0"/>
      <w:marTop w:val="0"/>
      <w:marBottom w:val="0"/>
      <w:divBdr>
        <w:top w:val="none" w:sz="0" w:space="0" w:color="auto"/>
        <w:left w:val="none" w:sz="0" w:space="0" w:color="auto"/>
        <w:bottom w:val="none" w:sz="0" w:space="0" w:color="auto"/>
        <w:right w:val="none" w:sz="0" w:space="0" w:color="auto"/>
      </w:divBdr>
    </w:div>
    <w:div w:id="1887793377">
      <w:bodyDiv w:val="1"/>
      <w:marLeft w:val="0"/>
      <w:marRight w:val="0"/>
      <w:marTop w:val="0"/>
      <w:marBottom w:val="0"/>
      <w:divBdr>
        <w:top w:val="none" w:sz="0" w:space="0" w:color="auto"/>
        <w:left w:val="none" w:sz="0" w:space="0" w:color="auto"/>
        <w:bottom w:val="none" w:sz="0" w:space="0" w:color="auto"/>
        <w:right w:val="none" w:sz="0" w:space="0" w:color="auto"/>
      </w:divBdr>
      <w:divsChild>
        <w:div w:id="1073360037">
          <w:marLeft w:val="0"/>
          <w:marRight w:val="0"/>
          <w:marTop w:val="240"/>
          <w:marBottom w:val="0"/>
          <w:divBdr>
            <w:top w:val="none" w:sz="0" w:space="0" w:color="auto"/>
            <w:left w:val="none" w:sz="0" w:space="0" w:color="auto"/>
            <w:bottom w:val="none" w:sz="0" w:space="0" w:color="auto"/>
            <w:right w:val="none" w:sz="0" w:space="0" w:color="auto"/>
          </w:divBdr>
        </w:div>
        <w:div w:id="1113816910">
          <w:marLeft w:val="0"/>
          <w:marRight w:val="0"/>
          <w:marTop w:val="600"/>
          <w:marBottom w:val="240"/>
          <w:divBdr>
            <w:top w:val="none" w:sz="0" w:space="0" w:color="auto"/>
            <w:left w:val="none" w:sz="0" w:space="0" w:color="auto"/>
            <w:bottom w:val="single" w:sz="36" w:space="6" w:color="CFD0D2"/>
            <w:right w:val="none" w:sz="0" w:space="0" w:color="auto"/>
          </w:divBdr>
          <w:divsChild>
            <w:div w:id="1246651184">
              <w:marLeft w:val="-96"/>
              <w:marRight w:val="-96"/>
              <w:marTop w:val="0"/>
              <w:marBottom w:val="120"/>
              <w:divBdr>
                <w:top w:val="none" w:sz="0" w:space="0" w:color="auto"/>
                <w:left w:val="none" w:sz="0" w:space="0" w:color="auto"/>
                <w:bottom w:val="none" w:sz="0" w:space="0" w:color="auto"/>
                <w:right w:val="none" w:sz="0" w:space="0" w:color="auto"/>
              </w:divBdr>
            </w:div>
          </w:divsChild>
        </w:div>
      </w:divsChild>
    </w:div>
    <w:div w:id="1903634469">
      <w:bodyDiv w:val="1"/>
      <w:marLeft w:val="0"/>
      <w:marRight w:val="0"/>
      <w:marTop w:val="0"/>
      <w:marBottom w:val="0"/>
      <w:divBdr>
        <w:top w:val="none" w:sz="0" w:space="0" w:color="auto"/>
        <w:left w:val="none" w:sz="0" w:space="0" w:color="auto"/>
        <w:bottom w:val="none" w:sz="0" w:space="0" w:color="auto"/>
        <w:right w:val="none" w:sz="0" w:space="0" w:color="auto"/>
      </w:divBdr>
      <w:divsChild>
        <w:div w:id="982463302">
          <w:marLeft w:val="960"/>
          <w:marRight w:val="960"/>
          <w:marTop w:val="240"/>
          <w:marBottom w:val="240"/>
          <w:divBdr>
            <w:top w:val="none" w:sz="0" w:space="0" w:color="auto"/>
            <w:left w:val="none" w:sz="0" w:space="0" w:color="auto"/>
            <w:bottom w:val="none" w:sz="0" w:space="0" w:color="auto"/>
            <w:right w:val="none" w:sz="0" w:space="0" w:color="auto"/>
          </w:divBdr>
          <w:divsChild>
            <w:div w:id="1915507117">
              <w:marLeft w:val="0"/>
              <w:marRight w:val="0"/>
              <w:marTop w:val="240"/>
              <w:marBottom w:val="0"/>
              <w:divBdr>
                <w:top w:val="none" w:sz="0" w:space="0" w:color="auto"/>
                <w:left w:val="none" w:sz="0" w:space="0" w:color="auto"/>
                <w:bottom w:val="none" w:sz="0" w:space="0" w:color="auto"/>
                <w:right w:val="none" w:sz="0" w:space="0" w:color="auto"/>
              </w:divBdr>
            </w:div>
            <w:div w:id="1971397546">
              <w:marLeft w:val="720"/>
              <w:marRight w:val="720"/>
              <w:marTop w:val="240"/>
              <w:marBottom w:val="240"/>
              <w:divBdr>
                <w:top w:val="none" w:sz="0" w:space="0" w:color="auto"/>
                <w:left w:val="none" w:sz="0" w:space="0" w:color="auto"/>
                <w:bottom w:val="none" w:sz="0" w:space="0" w:color="auto"/>
                <w:right w:val="none" w:sz="0" w:space="0" w:color="auto"/>
              </w:divBdr>
            </w:div>
          </w:divsChild>
        </w:div>
      </w:divsChild>
    </w:div>
    <w:div w:id="2004698211">
      <w:bodyDiv w:val="1"/>
      <w:marLeft w:val="0"/>
      <w:marRight w:val="0"/>
      <w:marTop w:val="0"/>
      <w:marBottom w:val="0"/>
      <w:divBdr>
        <w:top w:val="none" w:sz="0" w:space="0" w:color="auto"/>
        <w:left w:val="none" w:sz="0" w:space="0" w:color="auto"/>
        <w:bottom w:val="none" w:sz="0" w:space="0" w:color="auto"/>
        <w:right w:val="none" w:sz="0" w:space="0" w:color="auto"/>
      </w:divBdr>
      <w:divsChild>
        <w:div w:id="1141265464">
          <w:marLeft w:val="720"/>
          <w:marRight w:val="720"/>
          <w:marTop w:val="240"/>
          <w:marBottom w:val="240"/>
          <w:divBdr>
            <w:top w:val="none" w:sz="0" w:space="0" w:color="auto"/>
            <w:left w:val="none" w:sz="0" w:space="0" w:color="auto"/>
            <w:bottom w:val="none" w:sz="0" w:space="0" w:color="auto"/>
            <w:right w:val="none" w:sz="0" w:space="0" w:color="auto"/>
          </w:divBdr>
        </w:div>
      </w:divsChild>
    </w:div>
    <w:div w:id="2068920151">
      <w:bodyDiv w:val="1"/>
      <w:marLeft w:val="0"/>
      <w:marRight w:val="0"/>
      <w:marTop w:val="0"/>
      <w:marBottom w:val="0"/>
      <w:divBdr>
        <w:top w:val="none" w:sz="0" w:space="0" w:color="auto"/>
        <w:left w:val="none" w:sz="0" w:space="0" w:color="auto"/>
        <w:bottom w:val="none" w:sz="0" w:space="0" w:color="auto"/>
        <w:right w:val="none" w:sz="0" w:space="0" w:color="auto"/>
      </w:divBdr>
      <w:divsChild>
        <w:div w:id="1309700275">
          <w:marLeft w:val="720"/>
          <w:marRight w:val="720"/>
          <w:marTop w:val="240"/>
          <w:marBottom w:val="240"/>
          <w:divBdr>
            <w:top w:val="none" w:sz="0" w:space="0" w:color="auto"/>
            <w:left w:val="none" w:sz="0" w:space="0" w:color="auto"/>
            <w:bottom w:val="none" w:sz="0" w:space="0" w:color="auto"/>
            <w:right w:val="none" w:sz="0" w:space="0" w:color="auto"/>
          </w:divBdr>
        </w:div>
        <w:div w:id="967784977">
          <w:marLeft w:val="720"/>
          <w:marRight w:val="720"/>
          <w:marTop w:val="240"/>
          <w:marBottom w:val="240"/>
          <w:divBdr>
            <w:top w:val="none" w:sz="0" w:space="0" w:color="auto"/>
            <w:left w:val="none" w:sz="0" w:space="0" w:color="auto"/>
            <w:bottom w:val="none" w:sz="0" w:space="0" w:color="auto"/>
            <w:right w:val="none" w:sz="0" w:space="0" w:color="auto"/>
          </w:divBdr>
        </w:div>
        <w:div w:id="686517939">
          <w:marLeft w:val="720"/>
          <w:marRight w:val="720"/>
          <w:marTop w:val="240"/>
          <w:marBottom w:val="240"/>
          <w:divBdr>
            <w:top w:val="none" w:sz="0" w:space="0" w:color="auto"/>
            <w:left w:val="none" w:sz="0" w:space="0" w:color="auto"/>
            <w:bottom w:val="none" w:sz="0" w:space="0" w:color="auto"/>
            <w:right w:val="none" w:sz="0" w:space="0" w:color="auto"/>
          </w:divBdr>
        </w:div>
      </w:divsChild>
    </w:div>
    <w:div w:id="213694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igsaw.vitalsource.com/books/9781337472395/epub/OEBPS/9781305577367_08_contents.xhtml" TargetMode="External"/><Relationship Id="rId21" Type="http://schemas.openxmlformats.org/officeDocument/2006/relationships/image" Target="media/image1.jpeg"/><Relationship Id="rId42" Type="http://schemas.openxmlformats.org/officeDocument/2006/relationships/hyperlink" Target="https://jigsaw.vitalsource.com/books/9781337472395/epub/OEBPS/9781305577367_16_ch7.xhtml" TargetMode="External"/><Relationship Id="rId63" Type="http://schemas.openxmlformats.org/officeDocument/2006/relationships/hyperlink" Target="https://jigsaw.vitalsource.com/books/9781337472395/epub/OEBPS/9781305577367_16_ch7.xhtml" TargetMode="External"/><Relationship Id="rId84" Type="http://schemas.openxmlformats.org/officeDocument/2006/relationships/hyperlink" Target="https://jigsaw.vitalsource.com/books/9781337472395/epub/OEBPS/9781305577367_08_contents.xhtml" TargetMode="External"/><Relationship Id="rId138" Type="http://schemas.openxmlformats.org/officeDocument/2006/relationships/hyperlink" Target="https://jigsaw.vitalsource.com/books/9781337472395/epub/OEBPS/9781305577367_16_ch7.xhtml" TargetMode="External"/><Relationship Id="rId159" Type="http://schemas.openxmlformats.org/officeDocument/2006/relationships/footer" Target="footer3.xml"/><Relationship Id="rId107" Type="http://schemas.openxmlformats.org/officeDocument/2006/relationships/hyperlink" Target="https://jigsaw.vitalsource.com/books/9781337472395/epub/OEBPS/9781305577367_16_ch7.xhtml" TargetMode="External"/><Relationship Id="rId11" Type="http://schemas.openxmlformats.org/officeDocument/2006/relationships/hyperlink" Target="https://jigsaw.vitalsource.com/books/9781337472395/epub/OEBPS/9781305577367_28_glossary.xhtml" TargetMode="External"/><Relationship Id="rId32" Type="http://schemas.openxmlformats.org/officeDocument/2006/relationships/hyperlink" Target="https://jigsaw.vitalsource.com/books/9781337472395/epub/OEBPS/9781305577367_16_ch7.xhtml" TargetMode="External"/><Relationship Id="rId53" Type="http://schemas.openxmlformats.org/officeDocument/2006/relationships/hyperlink" Target="https://jigsaw.vitalsource.com/books/9781337472395/epub/OEBPS/9781305577367_16_ch7.xhtml" TargetMode="External"/><Relationship Id="rId74" Type="http://schemas.openxmlformats.org/officeDocument/2006/relationships/hyperlink" Target="https://jigsaw.vitalsource.com/books/9781337472395/epub/OEBPS/9781305577367_16_ch7.xhtml" TargetMode="External"/><Relationship Id="rId128" Type="http://schemas.openxmlformats.org/officeDocument/2006/relationships/hyperlink" Target="https://jigsaw.vitalsource.com/books/9781337472395/epub/OEBPS/9781305577367_08_contents.xhtml" TargetMode="External"/><Relationship Id="rId149" Type="http://schemas.openxmlformats.org/officeDocument/2006/relationships/hyperlink" Target="https://jigsaw.vitalsource.com/books/9781337472395/epub/OEBPS/9781305577367_16_ch7.xhtml" TargetMode="External"/><Relationship Id="rId5" Type="http://schemas.openxmlformats.org/officeDocument/2006/relationships/endnotes" Target="endnotes.xml"/><Relationship Id="rId95" Type="http://schemas.openxmlformats.org/officeDocument/2006/relationships/image" Target="media/image5.jpeg"/><Relationship Id="rId160" Type="http://schemas.openxmlformats.org/officeDocument/2006/relationships/fontTable" Target="fontTable.xml"/><Relationship Id="rId22" Type="http://schemas.openxmlformats.org/officeDocument/2006/relationships/image" Target="media/image2.jpeg"/><Relationship Id="rId43" Type="http://schemas.openxmlformats.org/officeDocument/2006/relationships/hyperlink" Target="https://jigsaw.vitalsource.com/books/9781337472395/epub/OEBPS/9781305577367_16_ch7.xhtml" TargetMode="External"/><Relationship Id="rId64" Type="http://schemas.openxmlformats.org/officeDocument/2006/relationships/hyperlink" Target="https://jigsaw.vitalsource.com/books/9781337472395/epub/OEBPS/9781305577367_16_ch7.xhtml" TargetMode="External"/><Relationship Id="rId118" Type="http://schemas.openxmlformats.org/officeDocument/2006/relationships/hyperlink" Target="https://jigsaw.vitalsource.com/books/9781337472395/epub/OEBPS/9781305577367_16_ch7.xhtml" TargetMode="External"/><Relationship Id="rId139" Type="http://schemas.openxmlformats.org/officeDocument/2006/relationships/hyperlink" Target="https://jigsaw.vitalsource.com/books/9781337472395/epub/OEBPS/9781305577367_16_ch7.xhtml" TargetMode="External"/><Relationship Id="rId85" Type="http://schemas.openxmlformats.org/officeDocument/2006/relationships/hyperlink" Target="https://jigsaw.vitalsource.com/books/9781337472395/epub/OEBPS/9781305577367_08_contents.xhtml" TargetMode="External"/><Relationship Id="rId150" Type="http://schemas.openxmlformats.org/officeDocument/2006/relationships/hyperlink" Target="http://www.acgov.org/da/pov/documents/web.htm" TargetMode="External"/><Relationship Id="rId12" Type="http://schemas.openxmlformats.org/officeDocument/2006/relationships/hyperlink" Target="https://jigsaw.vitalsource.com/books/9781337472395/epub/OEBPS/9781305577367_28_glossary.xhtml" TargetMode="External"/><Relationship Id="rId17" Type="http://schemas.openxmlformats.org/officeDocument/2006/relationships/hyperlink" Target="https://jigsaw.vitalsource.com/books/9781337472395/epub/OEBPS/9781305577367_28_glossary.xhtml" TargetMode="External"/><Relationship Id="rId33" Type="http://schemas.openxmlformats.org/officeDocument/2006/relationships/hyperlink" Target="https://jigsaw.vitalsource.com/books/9781337472395/epub/OEBPS/9781305577367_16_ch7.xhtml" TargetMode="External"/><Relationship Id="rId38" Type="http://schemas.openxmlformats.org/officeDocument/2006/relationships/hyperlink" Target="https://jigsaw.vitalsource.com/books/9781337472395/epub/OEBPS/9781305577367_16_ch7.xhtml" TargetMode="External"/><Relationship Id="rId59" Type="http://schemas.openxmlformats.org/officeDocument/2006/relationships/hyperlink" Target="https://jigsaw.vitalsource.com/books/9781337472395/epub/OEBPS/9781305577367_16_ch7.xhtml" TargetMode="External"/><Relationship Id="rId103" Type="http://schemas.openxmlformats.org/officeDocument/2006/relationships/hyperlink" Target="https://jigsaw.vitalsource.com/books/9781337472395/epub/OEBPS/9781305577367_08_contents.xhtml" TargetMode="External"/><Relationship Id="rId108" Type="http://schemas.openxmlformats.org/officeDocument/2006/relationships/image" Target="media/image7.jpeg"/><Relationship Id="rId124" Type="http://schemas.openxmlformats.org/officeDocument/2006/relationships/hyperlink" Target="https://jigsaw.vitalsource.com/books/9781337472395/epub/OEBPS/9781305577367_08_contents.xhtml" TargetMode="External"/><Relationship Id="rId129" Type="http://schemas.openxmlformats.org/officeDocument/2006/relationships/hyperlink" Target="https://jigsaw.vitalsource.com/books/9781337472395/epub/OEBPS/9781305577367_16_ch7.xhtml" TargetMode="External"/><Relationship Id="rId54" Type="http://schemas.openxmlformats.org/officeDocument/2006/relationships/hyperlink" Target="https://jigsaw.vitalsource.com/books/9781337472395/epub/OEBPS/9781305577367_16_ch7.xhtml" TargetMode="External"/><Relationship Id="rId70" Type="http://schemas.openxmlformats.org/officeDocument/2006/relationships/hyperlink" Target="https://jigsaw.vitalsource.com/books/9781337472395/epub/OEBPS/9781305577367_16_ch7.xhtml" TargetMode="External"/><Relationship Id="rId75" Type="http://schemas.openxmlformats.org/officeDocument/2006/relationships/hyperlink" Target="https://jigsaw.vitalsource.com/books/9781337472395/epub/OEBPS/9781305577367_08_contents.xhtml" TargetMode="External"/><Relationship Id="rId91" Type="http://schemas.openxmlformats.org/officeDocument/2006/relationships/hyperlink" Target="https://jigsaw.vitalsource.com/books/9781337472395/epub/OEBPS/9781305577367_12_ch3.xhtml" TargetMode="External"/><Relationship Id="rId96" Type="http://schemas.openxmlformats.org/officeDocument/2006/relationships/image" Target="media/image6.jpeg"/><Relationship Id="rId140" Type="http://schemas.openxmlformats.org/officeDocument/2006/relationships/hyperlink" Target="https://jigsaw.vitalsource.com/books/9781337472395/epub/OEBPS/9781305577367_16_ch7.xhtml" TargetMode="External"/><Relationship Id="rId145" Type="http://schemas.openxmlformats.org/officeDocument/2006/relationships/hyperlink" Target="https://jigsaw.vitalsource.com/books/9781337472395/epub/OEBPS/9781305577367_08_contents.xhtml" TargetMode="External"/><Relationship Id="rId16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jigsaw.vitalsource.com/books/9781337472395/epub/OEBPS/9781305577367_08_contents.xhtml" TargetMode="External"/><Relationship Id="rId23" Type="http://schemas.openxmlformats.org/officeDocument/2006/relationships/image" Target="media/image3.jpeg"/><Relationship Id="rId28" Type="http://schemas.openxmlformats.org/officeDocument/2006/relationships/hyperlink" Target="https://jigsaw.vitalsource.com/books/9781337472395/epub/OEBPS/9781305577367_16_ch7.xhtml" TargetMode="External"/><Relationship Id="rId49" Type="http://schemas.openxmlformats.org/officeDocument/2006/relationships/hyperlink" Target="https://jigsaw.vitalsource.com/books/9781337472395/epub/OEBPS/9781305577367_16_ch7.xhtml" TargetMode="External"/><Relationship Id="rId114" Type="http://schemas.openxmlformats.org/officeDocument/2006/relationships/hyperlink" Target="https://jigsaw.vitalsource.com/books/9781337472395/epub/OEBPS/9781305577367_15_ch6.xhtml" TargetMode="External"/><Relationship Id="rId119" Type="http://schemas.openxmlformats.org/officeDocument/2006/relationships/hyperlink" Target="https://jigsaw.vitalsource.com/books/9781337472395/epub/OEBPS/9781305577367_15_ch6.xhtml" TargetMode="External"/><Relationship Id="rId44" Type="http://schemas.openxmlformats.org/officeDocument/2006/relationships/hyperlink" Target="https://jigsaw.vitalsource.com/books/9781337472395/epub/OEBPS/9781305577367_16_ch7.xhtml" TargetMode="External"/><Relationship Id="rId60" Type="http://schemas.openxmlformats.org/officeDocument/2006/relationships/hyperlink" Target="https://jigsaw.vitalsource.com/books/9781337472395/epub/OEBPS/9781305577367_16_ch7.xhtml" TargetMode="External"/><Relationship Id="rId65" Type="http://schemas.openxmlformats.org/officeDocument/2006/relationships/hyperlink" Target="https://jigsaw.vitalsource.com/books/9781337472395/epub/OEBPS/9781305577367_16_ch7.xhtml" TargetMode="External"/><Relationship Id="rId81" Type="http://schemas.openxmlformats.org/officeDocument/2006/relationships/hyperlink" Target="https://jigsaw.vitalsource.com/books/9781337472395/epub/OEBPS/9781305577367_08_contents.xhtml" TargetMode="External"/><Relationship Id="rId86" Type="http://schemas.openxmlformats.org/officeDocument/2006/relationships/hyperlink" Target="https://jigsaw.vitalsource.com/books/9781337472395/epub/OEBPS/9781305577367_08_contents.xhtml" TargetMode="External"/><Relationship Id="rId130" Type="http://schemas.openxmlformats.org/officeDocument/2006/relationships/hyperlink" Target="https://jigsaw.vitalsource.com/books/9781337472395/epub/OEBPS/9781305577367_08_contents.xhtml" TargetMode="External"/><Relationship Id="rId135" Type="http://schemas.openxmlformats.org/officeDocument/2006/relationships/hyperlink" Target="https://jigsaw.vitalsource.com/books/9781337472395/epub/OEBPS/9781305577367_08_contents.xhtml" TargetMode="External"/><Relationship Id="rId151" Type="http://schemas.openxmlformats.org/officeDocument/2006/relationships/hyperlink" Target="https://jigsaw.vitalsource.com/books/9781337472395/epub/OEBPS/9781305577367_16_ch7.xhtml" TargetMode="External"/><Relationship Id="rId156" Type="http://schemas.openxmlformats.org/officeDocument/2006/relationships/footer" Target="footer1.xml"/><Relationship Id="rId13" Type="http://schemas.openxmlformats.org/officeDocument/2006/relationships/hyperlink" Target="https://jigsaw.vitalsource.com/books/9781337472395/epub/OEBPS/9781305577367_28_glossary.xhtml" TargetMode="External"/><Relationship Id="rId18" Type="http://schemas.openxmlformats.org/officeDocument/2006/relationships/hyperlink" Target="https://jigsaw.vitalsource.com/books/9781337472395/epub/OEBPS/9781305577367_28_glossary.xhtml" TargetMode="External"/><Relationship Id="rId39" Type="http://schemas.openxmlformats.org/officeDocument/2006/relationships/hyperlink" Target="https://jigsaw.vitalsource.com/books/9781337472395/epub/OEBPS/9781305577367_16_ch7.xhtml" TargetMode="External"/><Relationship Id="rId109" Type="http://schemas.openxmlformats.org/officeDocument/2006/relationships/hyperlink" Target="https://jigsaw.vitalsource.com/books/9781337472395/epub/OEBPS/9781305577367_16_ch7.xhtml" TargetMode="External"/><Relationship Id="rId34" Type="http://schemas.openxmlformats.org/officeDocument/2006/relationships/hyperlink" Target="https://jigsaw.vitalsource.com/books/9781337472395/epub/OEBPS/9781305577367_16_ch7.xhtml" TargetMode="External"/><Relationship Id="rId50" Type="http://schemas.openxmlformats.org/officeDocument/2006/relationships/hyperlink" Target="https://jigsaw.vitalsource.com/books/9781337472395/epub/OEBPS/9781305577367_16_ch7.xhtml" TargetMode="External"/><Relationship Id="rId55" Type="http://schemas.openxmlformats.org/officeDocument/2006/relationships/hyperlink" Target="https://jigsaw.vitalsource.com/books/9781337472395/epub/OEBPS/9781305577367_16_ch7.xhtml" TargetMode="External"/><Relationship Id="rId76" Type="http://schemas.openxmlformats.org/officeDocument/2006/relationships/hyperlink" Target="https://jigsaw.vitalsource.com/books/9781337472395/epub/OEBPS/9781305577367_16_ch7.xhtml" TargetMode="External"/><Relationship Id="rId97" Type="http://schemas.openxmlformats.org/officeDocument/2006/relationships/hyperlink" Target="https://jigsaw.vitalsource.com/books/9781337472395/epub/OEBPS/9781305577367_08_contents.xhtml" TargetMode="External"/><Relationship Id="rId104" Type="http://schemas.openxmlformats.org/officeDocument/2006/relationships/hyperlink" Target="https://jigsaw.vitalsource.com/books/9781337472395/epub/OEBPS/9781305577367_14_ch5.xhtml" TargetMode="External"/><Relationship Id="rId120" Type="http://schemas.openxmlformats.org/officeDocument/2006/relationships/hyperlink" Target="https://jigsaw.vitalsource.com/books/9781337472395/epub/OEBPS/9781305577367_08_contents.xhtml" TargetMode="External"/><Relationship Id="rId125" Type="http://schemas.openxmlformats.org/officeDocument/2006/relationships/hyperlink" Target="https://jigsaw.vitalsource.com/books/9781337472395/epub/OEBPS/9781305577367_08_contents.xhtml" TargetMode="External"/><Relationship Id="rId141" Type="http://schemas.openxmlformats.org/officeDocument/2006/relationships/hyperlink" Target="https://jigsaw.vitalsource.com/books/9781337472395/epub/OEBPS/9781305577367_08_contents.xhtml" TargetMode="External"/><Relationship Id="rId146" Type="http://schemas.openxmlformats.org/officeDocument/2006/relationships/hyperlink" Target="https://jigsaw.vitalsource.com/books/9781337472395/epub/OEBPS/9781305577367_08_contents.xhtml" TargetMode="External"/><Relationship Id="rId7" Type="http://schemas.openxmlformats.org/officeDocument/2006/relationships/hyperlink" Target="https://jigsaw.vitalsource.com/books/9781337472395/epub/OEBPS/9781305577367_28_glossary.xhtml" TargetMode="External"/><Relationship Id="rId71" Type="http://schemas.openxmlformats.org/officeDocument/2006/relationships/hyperlink" Target="https://jigsaw.vitalsource.com/books/9781337472395/epub/OEBPS/9781305577367_08_contents.xhtml" TargetMode="External"/><Relationship Id="rId92" Type="http://schemas.openxmlformats.org/officeDocument/2006/relationships/image" Target="media/image4.jpeg"/><Relationship Id="rId2" Type="http://schemas.openxmlformats.org/officeDocument/2006/relationships/settings" Target="settings.xml"/><Relationship Id="rId29" Type="http://schemas.openxmlformats.org/officeDocument/2006/relationships/hyperlink" Target="https://jigsaw.vitalsource.com/books/9781337472395/epub/OEBPS/9781305577367_16_ch7.xhtml" TargetMode="External"/><Relationship Id="rId24" Type="http://schemas.openxmlformats.org/officeDocument/2006/relationships/hyperlink" Target="https://jigsaw.vitalsource.com/books/9781337472395/epub/OEBPS/9781305577367_16_ch7.xhtml" TargetMode="External"/><Relationship Id="rId40" Type="http://schemas.openxmlformats.org/officeDocument/2006/relationships/hyperlink" Target="https://jigsaw.vitalsource.com/books/9781337472395/epub/OEBPS/9781305577367_16_ch7.xhtml" TargetMode="External"/><Relationship Id="rId45" Type="http://schemas.openxmlformats.org/officeDocument/2006/relationships/hyperlink" Target="https://jigsaw.vitalsource.com/books/9781337472395/epub/OEBPS/9781305577367_16_ch7.xhtml" TargetMode="External"/><Relationship Id="rId66" Type="http://schemas.openxmlformats.org/officeDocument/2006/relationships/hyperlink" Target="https://jigsaw.vitalsource.com/books/9781337472395/epub/OEBPS/9781305577367_08_contents.xhtml" TargetMode="External"/><Relationship Id="rId87" Type="http://schemas.openxmlformats.org/officeDocument/2006/relationships/hyperlink" Target="https://jigsaw.vitalsource.com/books/9781337472395/epub/OEBPS/9781305577367_16_ch7.xhtml" TargetMode="External"/><Relationship Id="rId110" Type="http://schemas.openxmlformats.org/officeDocument/2006/relationships/hyperlink" Target="https://jigsaw.vitalsource.com/books/9781337472395/epub/OEBPS/9781305577367_08_contents.xhtml" TargetMode="External"/><Relationship Id="rId115" Type="http://schemas.openxmlformats.org/officeDocument/2006/relationships/hyperlink" Target="https://jigsaw.vitalsource.com/books/9781337472395/epub/OEBPS/9781305577367_08_contents.xhtml" TargetMode="External"/><Relationship Id="rId131" Type="http://schemas.openxmlformats.org/officeDocument/2006/relationships/hyperlink" Target="https://jigsaw.vitalsource.com/books/9781337472395/epub/OEBPS/9781305577367_16_ch7.xhtml" TargetMode="External"/><Relationship Id="rId136" Type="http://schemas.openxmlformats.org/officeDocument/2006/relationships/hyperlink" Target="https://jigsaw.vitalsource.com/books/9781337472395/epub/OEBPS/9781305577367_08_contents.xhtml" TargetMode="External"/><Relationship Id="rId157" Type="http://schemas.openxmlformats.org/officeDocument/2006/relationships/footer" Target="footer2.xml"/><Relationship Id="rId61" Type="http://schemas.openxmlformats.org/officeDocument/2006/relationships/hyperlink" Target="https://jigsaw.vitalsource.com/books/9781337472395/epub/OEBPS/9781305577367_16_ch7.xhtml" TargetMode="External"/><Relationship Id="rId82" Type="http://schemas.openxmlformats.org/officeDocument/2006/relationships/hyperlink" Target="https://jigsaw.vitalsource.com/books/9781337472395/epub/OEBPS/9781305577367_16_ch7.xhtml" TargetMode="External"/><Relationship Id="rId152" Type="http://schemas.openxmlformats.org/officeDocument/2006/relationships/hyperlink" Target="https://jigsaw.vitalsource.com/books/9781337472395/epub/OEBPS/9781305577367_16_ch7.xhtml" TargetMode="External"/><Relationship Id="rId19" Type="http://schemas.openxmlformats.org/officeDocument/2006/relationships/hyperlink" Target="https://jigsaw.vitalsource.com/books/9781337472395/epub/OEBPS/9781305577367_28_glossary.xhtml" TargetMode="External"/><Relationship Id="rId14" Type="http://schemas.openxmlformats.org/officeDocument/2006/relationships/hyperlink" Target="https://jigsaw.vitalsource.com/books/9781337472395/epub/OEBPS/9781305577367_28_glossary.xhtml" TargetMode="External"/><Relationship Id="rId30" Type="http://schemas.openxmlformats.org/officeDocument/2006/relationships/hyperlink" Target="https://jigsaw.vitalsource.com/books/9781337472395/epub/OEBPS/9781305577367_16_ch7.xhtml" TargetMode="External"/><Relationship Id="rId35" Type="http://schemas.openxmlformats.org/officeDocument/2006/relationships/hyperlink" Target="https://jigsaw.vitalsource.com/books/9781337472395/epub/OEBPS/9781305577367_16_ch7.xhtml" TargetMode="External"/><Relationship Id="rId56" Type="http://schemas.openxmlformats.org/officeDocument/2006/relationships/hyperlink" Target="https://jigsaw.vitalsource.com/books/9781337472395/epub/OEBPS/9781305577367_16_ch7.xhtml" TargetMode="External"/><Relationship Id="rId77" Type="http://schemas.openxmlformats.org/officeDocument/2006/relationships/hyperlink" Target="https://jigsaw.vitalsource.com/books/9781337472395/epub/OEBPS/9781305577367_08_contents.xhtml" TargetMode="External"/><Relationship Id="rId100" Type="http://schemas.openxmlformats.org/officeDocument/2006/relationships/hyperlink" Target="https://jigsaw.vitalsource.com/books/9781337472395/epub/OEBPS/9781305577367_16_ch7.xhtml" TargetMode="External"/><Relationship Id="rId105" Type="http://schemas.openxmlformats.org/officeDocument/2006/relationships/hyperlink" Target="https://jigsaw.vitalsource.com/books/9781337472395/epub/OEBPS/9781305577367_17_ch8.xhtml" TargetMode="External"/><Relationship Id="rId126" Type="http://schemas.openxmlformats.org/officeDocument/2006/relationships/hyperlink" Target="https://jigsaw.vitalsource.com/books/9781337472395/epub/OEBPS/9781305577367_13_ch4.xhtml" TargetMode="External"/><Relationship Id="rId147" Type="http://schemas.openxmlformats.org/officeDocument/2006/relationships/hyperlink" Target="https://jigsaw.vitalsource.com/books/9781337472395/epub/OEBPS/9781305577367_08_contents.xhtml" TargetMode="External"/><Relationship Id="rId8" Type="http://schemas.openxmlformats.org/officeDocument/2006/relationships/hyperlink" Target="https://jigsaw.vitalsource.com/books/9781337472395/epub/OEBPS/9781305577367_28_glossary.xhtml" TargetMode="External"/><Relationship Id="rId51" Type="http://schemas.openxmlformats.org/officeDocument/2006/relationships/hyperlink" Target="https://jigsaw.vitalsource.com/books/9781337472395/epub/OEBPS/9781305577367_16_ch7.xhtml" TargetMode="External"/><Relationship Id="rId72" Type="http://schemas.openxmlformats.org/officeDocument/2006/relationships/hyperlink" Target="https://jigsaw.vitalsource.com/books/9781337472395/epub/OEBPS/9781305577367_16_ch7.xhtml" TargetMode="External"/><Relationship Id="rId93" Type="http://schemas.openxmlformats.org/officeDocument/2006/relationships/hyperlink" Target="https://jigsaw.vitalsource.com/books/9781337472395/epub/OEBPS/9781305577367_08_contents.xhtml" TargetMode="External"/><Relationship Id="rId98" Type="http://schemas.openxmlformats.org/officeDocument/2006/relationships/hyperlink" Target="https://jigsaw.vitalsource.com/books/9781337472395/epub/OEBPS/9781305577367_16_ch7.xhtml" TargetMode="External"/><Relationship Id="rId121" Type="http://schemas.openxmlformats.org/officeDocument/2006/relationships/hyperlink" Target="https://jigsaw.vitalsource.com/books/9781337472395/epub/OEBPS/9781305577367_16_ch7.xhtml" TargetMode="External"/><Relationship Id="rId142" Type="http://schemas.openxmlformats.org/officeDocument/2006/relationships/hyperlink" Target="https://jigsaw.vitalsource.com/books/9781337472395/epub/OEBPS/9781305577367_08_contents.xhtml" TargetMode="External"/><Relationship Id="rId3" Type="http://schemas.openxmlformats.org/officeDocument/2006/relationships/webSettings" Target="webSettings.xml"/><Relationship Id="rId25" Type="http://schemas.openxmlformats.org/officeDocument/2006/relationships/hyperlink" Target="https://jigsaw.vitalsource.com/books/9781337472395/epub/OEBPS/9781305577367_16_ch7.xhtml" TargetMode="External"/><Relationship Id="rId46" Type="http://schemas.openxmlformats.org/officeDocument/2006/relationships/hyperlink" Target="https://jigsaw.vitalsource.com/books/9781337472395/epub/OEBPS/9781305577367_16_ch7.xhtml" TargetMode="External"/><Relationship Id="rId67" Type="http://schemas.openxmlformats.org/officeDocument/2006/relationships/hyperlink" Target="https://jigsaw.vitalsource.com/books/9781337472395/epub/OEBPS/9781305577367_17_ch8.xhtml" TargetMode="External"/><Relationship Id="rId116" Type="http://schemas.openxmlformats.org/officeDocument/2006/relationships/image" Target="media/image8.jpeg"/><Relationship Id="rId137" Type="http://schemas.openxmlformats.org/officeDocument/2006/relationships/hyperlink" Target="https://jigsaw.vitalsource.com/books/9781337472395/epub/OEBPS/9781305577367_16_ch7.xhtml" TargetMode="External"/><Relationship Id="rId158" Type="http://schemas.openxmlformats.org/officeDocument/2006/relationships/header" Target="header3.xml"/><Relationship Id="rId20" Type="http://schemas.openxmlformats.org/officeDocument/2006/relationships/hyperlink" Target="https://jigsaw.vitalsource.com/books/9781337472395/epub/OEBPS/9781305577367_28_glossary.xhtml" TargetMode="External"/><Relationship Id="rId41" Type="http://schemas.openxmlformats.org/officeDocument/2006/relationships/hyperlink" Target="https://jigsaw.vitalsource.com/books/9781337472395/epub/OEBPS/9781305577367_16_ch7.xhtml" TargetMode="External"/><Relationship Id="rId62" Type="http://schemas.openxmlformats.org/officeDocument/2006/relationships/hyperlink" Target="https://jigsaw.vitalsource.com/books/9781337472395/epub/OEBPS/9781305577367_16_ch7.xhtml" TargetMode="External"/><Relationship Id="rId83" Type="http://schemas.openxmlformats.org/officeDocument/2006/relationships/hyperlink" Target="https://jigsaw.vitalsource.com/books/9781337472395/epub/OEBPS/9781305577367_18_ch9.xhtml" TargetMode="External"/><Relationship Id="rId88" Type="http://schemas.openxmlformats.org/officeDocument/2006/relationships/hyperlink" Target="https://jigsaw.vitalsource.com/books/9781337472395/epub/OEBPS/9781305577367_16_ch7.xhtml" TargetMode="External"/><Relationship Id="rId111" Type="http://schemas.openxmlformats.org/officeDocument/2006/relationships/hyperlink" Target="https://jigsaw.vitalsource.com/books/9781337472395/epub/OEBPS/9781305577367_08_contents.xhtml" TargetMode="External"/><Relationship Id="rId132" Type="http://schemas.openxmlformats.org/officeDocument/2006/relationships/hyperlink" Target="https://jigsaw.vitalsource.com/books/9781337472395/epub/OEBPS/9781305577367_08_contents.xhtml" TargetMode="External"/><Relationship Id="rId153" Type="http://schemas.openxmlformats.org/officeDocument/2006/relationships/hyperlink" Target="https://jigsaw.vitalsource.com/books/9781337472395/epub/OEBPS/9781305577367_16_ch7.xhtml" TargetMode="External"/><Relationship Id="rId15" Type="http://schemas.openxmlformats.org/officeDocument/2006/relationships/hyperlink" Target="https://jigsaw.vitalsource.com/books/9781337472395/epub/OEBPS/9781305577367_28_glossary.xhtml" TargetMode="External"/><Relationship Id="rId36" Type="http://schemas.openxmlformats.org/officeDocument/2006/relationships/hyperlink" Target="https://jigsaw.vitalsource.com/books/9781337472395/epub/OEBPS/9781305577367_16_ch7.xhtml" TargetMode="External"/><Relationship Id="rId57" Type="http://schemas.openxmlformats.org/officeDocument/2006/relationships/hyperlink" Target="https://jigsaw.vitalsource.com/books/9781337472395/epub/OEBPS/9781305577367_16_ch7.xhtml" TargetMode="External"/><Relationship Id="rId106" Type="http://schemas.openxmlformats.org/officeDocument/2006/relationships/hyperlink" Target="https://jigsaw.vitalsource.com/books/9781337472395/epub/OEBPS/9781305577367_08_contents.xhtml" TargetMode="External"/><Relationship Id="rId127" Type="http://schemas.openxmlformats.org/officeDocument/2006/relationships/hyperlink" Target="https://jigsaw.vitalsource.com/books/9781337472395/epub/OEBPS/9781305577367_08_contents.xhtml" TargetMode="External"/><Relationship Id="rId10" Type="http://schemas.openxmlformats.org/officeDocument/2006/relationships/hyperlink" Target="https://jigsaw.vitalsource.com/books/9781337472395/epub/OEBPS/9781305577367_28_glossary.xhtml" TargetMode="External"/><Relationship Id="rId31" Type="http://schemas.openxmlformats.org/officeDocument/2006/relationships/hyperlink" Target="https://jigsaw.vitalsource.com/books/9781337472395/epub/OEBPS/9781305577367_16_ch7.xhtml" TargetMode="External"/><Relationship Id="rId52" Type="http://schemas.openxmlformats.org/officeDocument/2006/relationships/hyperlink" Target="https://jigsaw.vitalsource.com/books/9781337472395/epub/OEBPS/9781305577367_16_ch7.xhtml" TargetMode="External"/><Relationship Id="rId73" Type="http://schemas.openxmlformats.org/officeDocument/2006/relationships/hyperlink" Target="https://jigsaw.vitalsource.com/books/9781337472395/epub/OEBPS/9781305577367_08_contents.xhtml" TargetMode="External"/><Relationship Id="rId78" Type="http://schemas.openxmlformats.org/officeDocument/2006/relationships/hyperlink" Target="https://jigsaw.vitalsource.com/books/9781337472395/epub/OEBPS/9781305577367_08_contents.xhtml" TargetMode="External"/><Relationship Id="rId94" Type="http://schemas.openxmlformats.org/officeDocument/2006/relationships/hyperlink" Target="https://jigsaw.vitalsource.com/books/9781337472395/epub/OEBPS/9781305577367_16_ch7.xhtml" TargetMode="External"/><Relationship Id="rId99" Type="http://schemas.openxmlformats.org/officeDocument/2006/relationships/hyperlink" Target="https://jigsaw.vitalsource.com/books/9781337472395/epub/OEBPS/9781305577367_08_contents.xhtml" TargetMode="External"/><Relationship Id="rId101" Type="http://schemas.openxmlformats.org/officeDocument/2006/relationships/hyperlink" Target="https://jigsaw.vitalsource.com/books/9781337472395/epub/OEBPS/9781305577367_08_contents.xhtml" TargetMode="External"/><Relationship Id="rId122" Type="http://schemas.openxmlformats.org/officeDocument/2006/relationships/hyperlink" Target="https://jigsaw.vitalsource.com/books/9781337472395/epub/OEBPS/9781305577367_08_contents.xhtml" TargetMode="External"/><Relationship Id="rId143" Type="http://schemas.openxmlformats.org/officeDocument/2006/relationships/hyperlink" Target="https://jigsaw.vitalsource.com/books/9781337472395/epub/OEBPS/9781305577367_08_contents.xhtml" TargetMode="External"/><Relationship Id="rId148" Type="http://schemas.openxmlformats.org/officeDocument/2006/relationships/hyperlink" Target="https://jigsaw.vitalsource.com/books/9781337472395/epub/OEBPS/9781305577367_08_contents.xhtml" TargetMode="External"/><Relationship Id="rId4" Type="http://schemas.openxmlformats.org/officeDocument/2006/relationships/footnotes" Target="footnotes.xml"/><Relationship Id="rId9" Type="http://schemas.openxmlformats.org/officeDocument/2006/relationships/hyperlink" Target="https://jigsaw.vitalsource.com/books/9781337472395/epub/OEBPS/9781305577367_28_glossary.xhtml" TargetMode="External"/><Relationship Id="rId26" Type="http://schemas.openxmlformats.org/officeDocument/2006/relationships/hyperlink" Target="https://jigsaw.vitalsource.com/books/9781337472395/epub/OEBPS/9781305577367_16_ch7.xhtml" TargetMode="External"/><Relationship Id="rId47" Type="http://schemas.openxmlformats.org/officeDocument/2006/relationships/hyperlink" Target="https://jigsaw.vitalsource.com/books/9781337472395/epub/OEBPS/9781305577367_16_ch7.xhtml" TargetMode="External"/><Relationship Id="rId68" Type="http://schemas.openxmlformats.org/officeDocument/2006/relationships/hyperlink" Target="https://jigsaw.vitalsource.com/books/9781337472395/epub/OEBPS/9781305577367_15_ch6.xhtml" TargetMode="External"/><Relationship Id="rId89" Type="http://schemas.openxmlformats.org/officeDocument/2006/relationships/hyperlink" Target="https://jigsaw.vitalsource.com/books/9781337472395/epub/OEBPS/9781305577367_08_contents.xhtml" TargetMode="External"/><Relationship Id="rId112" Type="http://schemas.openxmlformats.org/officeDocument/2006/relationships/hyperlink" Target="https://jigsaw.vitalsource.com/books/9781337472395/epub/OEBPS/9781305577367_16_ch7.xhtml" TargetMode="External"/><Relationship Id="rId133" Type="http://schemas.openxmlformats.org/officeDocument/2006/relationships/hyperlink" Target="https://jigsaw.vitalsource.com/books/9781337472395/epub/OEBPS/9781305577367_15_ch6.xhtml" TargetMode="External"/><Relationship Id="rId154" Type="http://schemas.openxmlformats.org/officeDocument/2006/relationships/header" Target="header1.xml"/><Relationship Id="rId16" Type="http://schemas.openxmlformats.org/officeDocument/2006/relationships/hyperlink" Target="https://jigsaw.vitalsource.com/books/9781337472395/epub/OEBPS/9781305577367_28_glossary.xhtml" TargetMode="External"/><Relationship Id="rId37" Type="http://schemas.openxmlformats.org/officeDocument/2006/relationships/hyperlink" Target="https://jigsaw.vitalsource.com/books/9781337472395/epub/OEBPS/9781305577367_16_ch7.xhtml" TargetMode="External"/><Relationship Id="rId58" Type="http://schemas.openxmlformats.org/officeDocument/2006/relationships/hyperlink" Target="https://jigsaw.vitalsource.com/books/9781337472395/epub/OEBPS/9781305577367_16_ch7.xhtml" TargetMode="External"/><Relationship Id="rId79" Type="http://schemas.openxmlformats.org/officeDocument/2006/relationships/hyperlink" Target="https://jigsaw.vitalsource.com/books/9781337472395/epub/OEBPS/9781305577367_08_contents.xhtml" TargetMode="External"/><Relationship Id="rId102" Type="http://schemas.openxmlformats.org/officeDocument/2006/relationships/hyperlink" Target="https://jigsaw.vitalsource.com/books/9781337472395/epub/OEBPS/9781305577367_16_ch7.xhtml" TargetMode="External"/><Relationship Id="rId123" Type="http://schemas.openxmlformats.org/officeDocument/2006/relationships/hyperlink" Target="https://jigsaw.vitalsource.com/books/9781337472395/epub/OEBPS/9781305577367_08_contents.xhtml" TargetMode="External"/><Relationship Id="rId144" Type="http://schemas.openxmlformats.org/officeDocument/2006/relationships/hyperlink" Target="https://jigsaw.vitalsource.com/books/9781337472395/epub/OEBPS/9781305577367_08_contents.xhtml" TargetMode="External"/><Relationship Id="rId90" Type="http://schemas.openxmlformats.org/officeDocument/2006/relationships/hyperlink" Target="https://jigsaw.vitalsource.com/books/9781337472395/epub/OEBPS/9781305577367_08_contents.xhtml" TargetMode="External"/><Relationship Id="rId27" Type="http://schemas.openxmlformats.org/officeDocument/2006/relationships/hyperlink" Target="https://jigsaw.vitalsource.com/books/9781337472395/epub/OEBPS/9781305577367_16_ch7.xhtml" TargetMode="External"/><Relationship Id="rId48" Type="http://schemas.openxmlformats.org/officeDocument/2006/relationships/hyperlink" Target="https://jigsaw.vitalsource.com/books/9781337472395/epub/OEBPS/9781305577367_16_ch7.xhtml" TargetMode="External"/><Relationship Id="rId69" Type="http://schemas.openxmlformats.org/officeDocument/2006/relationships/hyperlink" Target="https://jigsaw.vitalsource.com/books/9781337472395/epub/OEBPS/9781305577367_08_contents.xhtml" TargetMode="External"/><Relationship Id="rId113" Type="http://schemas.openxmlformats.org/officeDocument/2006/relationships/hyperlink" Target="https://jigsaw.vitalsource.com/books/9781337472395/epub/OEBPS/9781305577367_15_ch6.xhtml" TargetMode="External"/><Relationship Id="rId134" Type="http://schemas.openxmlformats.org/officeDocument/2006/relationships/hyperlink" Target="https://jigsaw.vitalsource.com/books/9781337472395/epub/OEBPS/9781305577367_08_contents.xhtml" TargetMode="External"/><Relationship Id="rId80" Type="http://schemas.openxmlformats.org/officeDocument/2006/relationships/hyperlink" Target="https://jigsaw.vitalsource.com/books/9781337472395/epub/OEBPS/9781305577367_08_contents.xhtml" TargetMode="External"/><Relationship Id="rId15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44</Pages>
  <Words>22605</Words>
  <Characters>128854</Characters>
  <Application>Microsoft Office Word</Application>
  <DocSecurity>0</DocSecurity>
  <Lines>1073</Lines>
  <Paragraphs>302</Paragraphs>
  <ScaleCrop>false</ScaleCrop>
  <Company/>
  <LinksUpToDate>false</LinksUpToDate>
  <CharactersWithSpaces>151157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azemina.balic@aol.com</dc:creator>
  <cp:keywords/>
  <dc:description/>
  <cp:lastModifiedBy>azemina.balic@aol.com</cp:lastModifiedBy>
  <cp:revision>2</cp:revision>
  <dcterms:created xsi:type="dcterms:W3CDTF">2021-10-27T02:03:00Z</dcterms:created>
  <dcterms:modified xsi:type="dcterms:W3CDTF">2021-10-27T02:46:00Z</dcterms:modified>
</cp:coreProperties>
</file>